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2CD7B" w14:textId="77777777" w:rsidR="00315470" w:rsidRPr="003A070C" w:rsidRDefault="00315470">
      <w:pPr>
        <w:rPr>
          <w:rFonts w:ascii="Verdana" w:hAnsi="Verdana"/>
        </w:rPr>
      </w:pPr>
    </w:p>
    <w:p w14:paraId="2781BAA2" w14:textId="77777777" w:rsidR="00315470" w:rsidRPr="003A070C" w:rsidRDefault="00315470" w:rsidP="00AB629D">
      <w:pPr>
        <w:pBdr>
          <w:top w:val="single" w:sz="4" w:space="1" w:color="943634"/>
          <w:bottom w:val="single" w:sz="4" w:space="1" w:color="943634"/>
        </w:pBdr>
        <w:jc w:val="center"/>
        <w:rPr>
          <w:rFonts w:ascii="Verdana" w:hAnsi="Verdana"/>
          <w:color w:val="800000"/>
          <w:sz w:val="56"/>
          <w:szCs w:val="56"/>
        </w:rPr>
      </w:pPr>
      <w:r w:rsidRPr="003A070C">
        <w:rPr>
          <w:rFonts w:ascii="Verdana" w:hAnsi="Verdana"/>
          <w:color w:val="800000"/>
          <w:sz w:val="56"/>
          <w:szCs w:val="56"/>
        </w:rPr>
        <w:t xml:space="preserve">El </w:t>
      </w:r>
      <w:r w:rsidRPr="003A070C">
        <w:rPr>
          <w:rFonts w:ascii="Verdana" w:hAnsi="Verdana"/>
          <w:b/>
          <w:color w:val="800000"/>
          <w:sz w:val="56"/>
          <w:szCs w:val="56"/>
        </w:rPr>
        <w:t>CGPJ</w:t>
      </w:r>
      <w:r w:rsidRPr="003A070C">
        <w:rPr>
          <w:rFonts w:ascii="Verdana" w:hAnsi="Verdana"/>
          <w:color w:val="800000"/>
          <w:sz w:val="56"/>
          <w:szCs w:val="56"/>
        </w:rPr>
        <w:t xml:space="preserve"> informa</w:t>
      </w:r>
    </w:p>
    <w:p w14:paraId="36E18F40" w14:textId="77777777" w:rsidR="00F133CF" w:rsidRDefault="00F133CF" w:rsidP="00F133CF">
      <w:pPr>
        <w:rPr>
          <w:rFonts w:ascii="Verdana" w:hAnsi="Verdana"/>
          <w:b/>
          <w:sz w:val="28"/>
          <w:szCs w:val="28"/>
        </w:rPr>
      </w:pPr>
    </w:p>
    <w:p w14:paraId="4C6A66CA" w14:textId="77777777" w:rsidR="00FD4480" w:rsidRDefault="00FD4480" w:rsidP="00F133CF">
      <w:pPr>
        <w:rPr>
          <w:rFonts w:ascii="Verdana" w:hAnsi="Verdana"/>
          <w:b/>
          <w:sz w:val="28"/>
          <w:szCs w:val="28"/>
        </w:rPr>
      </w:pPr>
    </w:p>
    <w:p w14:paraId="06415F26" w14:textId="577DBBDD" w:rsidR="00213F4B" w:rsidRPr="00EE3A63" w:rsidRDefault="00D22F25" w:rsidP="00FE6B0A">
      <w:pPr>
        <w:jc w:val="center"/>
        <w:rPr>
          <w:rFonts w:ascii="Verdana" w:hAnsi="Verdana"/>
          <w:b/>
          <w:sz w:val="28"/>
          <w:szCs w:val="28"/>
        </w:rPr>
      </w:pPr>
      <w:r w:rsidRPr="00EE3A63">
        <w:rPr>
          <w:rFonts w:ascii="Verdana" w:hAnsi="Verdana"/>
          <w:b/>
          <w:sz w:val="28"/>
          <w:szCs w:val="28"/>
        </w:rPr>
        <w:t>El CGPJ pone en marcha la Red de Especialistas en Igualdad</w:t>
      </w:r>
      <w:r w:rsidR="00601BF3" w:rsidRPr="00EE3A63">
        <w:rPr>
          <w:rFonts w:ascii="Verdana" w:hAnsi="Verdana"/>
          <w:b/>
          <w:sz w:val="28"/>
          <w:szCs w:val="28"/>
        </w:rPr>
        <w:t>, cuyos treinta integrantes prestarán</w:t>
      </w:r>
      <w:r w:rsidR="000202CA" w:rsidRPr="00EE3A63">
        <w:rPr>
          <w:rFonts w:ascii="Verdana" w:hAnsi="Verdana"/>
          <w:b/>
          <w:sz w:val="28"/>
          <w:szCs w:val="28"/>
        </w:rPr>
        <w:t xml:space="preserve"> asesoramiento técnico a los órganos judiciales</w:t>
      </w:r>
    </w:p>
    <w:p w14:paraId="0CE92563" w14:textId="77777777" w:rsidR="008026D6" w:rsidRPr="00EE3A63" w:rsidRDefault="008026D6" w:rsidP="00FE6B0A">
      <w:pPr>
        <w:jc w:val="center"/>
        <w:rPr>
          <w:rFonts w:ascii="Verdana" w:hAnsi="Verdana"/>
          <w:b/>
          <w:sz w:val="28"/>
          <w:szCs w:val="28"/>
        </w:rPr>
      </w:pPr>
    </w:p>
    <w:p w14:paraId="73140B4B" w14:textId="77777777" w:rsidR="00236EF9" w:rsidRPr="00086CD8" w:rsidRDefault="00236EF9" w:rsidP="00236EF9">
      <w:pPr>
        <w:pStyle w:val="Prrafodelista"/>
        <w:numPr>
          <w:ilvl w:val="0"/>
          <w:numId w:val="1"/>
        </w:numPr>
        <w:jc w:val="both"/>
        <w:rPr>
          <w:rFonts w:ascii="Verdana" w:hAnsi="Verdana"/>
        </w:rPr>
      </w:pPr>
      <w:r w:rsidRPr="00086CD8">
        <w:rPr>
          <w:rFonts w:ascii="Verdana" w:hAnsi="Verdana"/>
        </w:rPr>
        <w:t>Formada por jueces/as y magistrados/as, la REI cuenta con una división por cada orden jurisdiccional y con grupos específicos sobre trata de seres humanos, antigitanismo, LGTBIQ+, personas migrantes y edadismo en la sociedad</w:t>
      </w:r>
    </w:p>
    <w:p w14:paraId="411EBB30" w14:textId="77777777" w:rsidR="00EE3A63" w:rsidRPr="00EE3A63" w:rsidRDefault="00EE3A63" w:rsidP="00EE3A63">
      <w:pPr>
        <w:pStyle w:val="Prrafodelista"/>
        <w:jc w:val="both"/>
        <w:rPr>
          <w:rFonts w:ascii="Verdana" w:hAnsi="Verdana"/>
          <w:sz w:val="22"/>
          <w:szCs w:val="22"/>
        </w:rPr>
      </w:pPr>
    </w:p>
    <w:p w14:paraId="6C005627" w14:textId="6AE34749" w:rsidR="008026D6" w:rsidRPr="009A6BDE" w:rsidRDefault="00C210B7" w:rsidP="004859F0">
      <w:pPr>
        <w:numPr>
          <w:ilvl w:val="0"/>
          <w:numId w:val="1"/>
        </w:numPr>
        <w:jc w:val="both"/>
        <w:rPr>
          <w:rFonts w:ascii="Verdana" w:hAnsi="Verdana"/>
        </w:rPr>
      </w:pPr>
      <w:r>
        <w:rPr>
          <w:rFonts w:ascii="Verdana" w:hAnsi="Verdana"/>
        </w:rPr>
        <w:t xml:space="preserve">La presidenta del TS y del CGPJ </w:t>
      </w:r>
      <w:r w:rsidR="009A6BDE">
        <w:rPr>
          <w:rFonts w:ascii="Verdana" w:hAnsi="Verdana"/>
        </w:rPr>
        <w:t>ha recordado que “e</w:t>
      </w:r>
      <w:r w:rsidR="009A6BDE" w:rsidRPr="009A6BDE">
        <w:rPr>
          <w:rFonts w:ascii="Verdana" w:hAnsi="Verdana"/>
        </w:rPr>
        <w:t>l principio de igualdad y la necesidad de juzgar con perspectiva de género han de estar siempre presentes en la labor diaria de los miembros de la Carrera Judicial</w:t>
      </w:r>
      <w:r w:rsidR="009A6BDE">
        <w:rPr>
          <w:rFonts w:ascii="Verdana" w:hAnsi="Verdana"/>
        </w:rPr>
        <w:t>”</w:t>
      </w:r>
      <w:r w:rsidR="001F4742" w:rsidRPr="009A6BDE">
        <w:rPr>
          <w:rFonts w:ascii="Verdana" w:hAnsi="Verdana"/>
        </w:rPr>
        <w:t xml:space="preserve">  </w:t>
      </w:r>
    </w:p>
    <w:p w14:paraId="61AB4279" w14:textId="77777777" w:rsidR="00A37687" w:rsidRDefault="00A37687" w:rsidP="00A37687">
      <w:pPr>
        <w:pStyle w:val="Prrafodelista"/>
        <w:rPr>
          <w:rFonts w:ascii="Verdana" w:hAnsi="Verdana"/>
        </w:rPr>
      </w:pPr>
    </w:p>
    <w:p w14:paraId="0221F44D" w14:textId="30C46C4F" w:rsidR="00F133CF" w:rsidRPr="00F133CF" w:rsidRDefault="00F133CF" w:rsidP="00F133CF">
      <w:pPr>
        <w:rPr>
          <w:rFonts w:ascii="Verdana" w:hAnsi="Verdana"/>
          <w:sz w:val="22"/>
          <w:szCs w:val="22"/>
        </w:rPr>
      </w:pPr>
      <w:r w:rsidRPr="00F133CF">
        <w:rPr>
          <w:rFonts w:ascii="Verdana" w:hAnsi="Verdana"/>
          <w:sz w:val="22"/>
          <w:szCs w:val="22"/>
        </w:rPr>
        <w:t xml:space="preserve">Madrid, </w:t>
      </w:r>
      <w:r w:rsidR="00CB2878">
        <w:rPr>
          <w:rFonts w:ascii="Verdana" w:hAnsi="Verdana"/>
          <w:sz w:val="22"/>
          <w:szCs w:val="22"/>
        </w:rPr>
        <w:t xml:space="preserve">20 de octubre de </w:t>
      </w:r>
      <w:r w:rsidR="001900F3">
        <w:rPr>
          <w:rFonts w:ascii="Verdana" w:hAnsi="Verdana"/>
          <w:sz w:val="22"/>
          <w:szCs w:val="22"/>
        </w:rPr>
        <w:t>202</w:t>
      </w:r>
      <w:r w:rsidR="00D82D60">
        <w:rPr>
          <w:rFonts w:ascii="Verdana" w:hAnsi="Verdana"/>
          <w:sz w:val="22"/>
          <w:szCs w:val="22"/>
        </w:rPr>
        <w:t>5</w:t>
      </w:r>
      <w:r w:rsidRPr="00F133CF">
        <w:rPr>
          <w:rFonts w:ascii="Verdana" w:hAnsi="Verdana"/>
          <w:sz w:val="22"/>
          <w:szCs w:val="22"/>
        </w:rPr>
        <w:t>.-</w:t>
      </w:r>
    </w:p>
    <w:p w14:paraId="6BA5E75E" w14:textId="77777777" w:rsidR="00F133CF" w:rsidRDefault="00F133CF" w:rsidP="00F133CF">
      <w:pPr>
        <w:jc w:val="both"/>
        <w:rPr>
          <w:rFonts w:ascii="Verdana" w:hAnsi="Verdana"/>
          <w:sz w:val="22"/>
          <w:szCs w:val="22"/>
        </w:rPr>
      </w:pPr>
    </w:p>
    <w:p w14:paraId="308C6D3E" w14:textId="760B1C2D" w:rsidR="00B4287B" w:rsidRDefault="00B4287B" w:rsidP="00914A2E">
      <w:pPr>
        <w:jc w:val="both"/>
        <w:rPr>
          <w:rFonts w:ascii="Verdana" w:hAnsi="Verdana"/>
          <w:sz w:val="22"/>
          <w:szCs w:val="22"/>
        </w:rPr>
      </w:pPr>
      <w:r>
        <w:rPr>
          <w:rFonts w:ascii="Verdana" w:hAnsi="Verdana"/>
          <w:sz w:val="22"/>
          <w:szCs w:val="22"/>
        </w:rPr>
        <w:t>La Red de Especialistas en Igualdad del Consejo General del Poder Judicial</w:t>
      </w:r>
      <w:r w:rsidR="0052002B">
        <w:rPr>
          <w:rFonts w:ascii="Verdana" w:hAnsi="Verdana"/>
          <w:sz w:val="22"/>
          <w:szCs w:val="22"/>
        </w:rPr>
        <w:t xml:space="preserve"> (REI)</w:t>
      </w:r>
      <w:r>
        <w:rPr>
          <w:rFonts w:ascii="Verdana" w:hAnsi="Verdana"/>
          <w:sz w:val="22"/>
          <w:szCs w:val="22"/>
        </w:rPr>
        <w:t xml:space="preserve">, cuyos primeros treinta integrantes </w:t>
      </w:r>
      <w:r w:rsidR="00A3462A">
        <w:rPr>
          <w:rFonts w:ascii="Verdana" w:hAnsi="Verdana"/>
          <w:sz w:val="22"/>
          <w:szCs w:val="22"/>
        </w:rPr>
        <w:t xml:space="preserve">han sido </w:t>
      </w:r>
      <w:r>
        <w:rPr>
          <w:rFonts w:ascii="Verdana" w:hAnsi="Verdana"/>
          <w:sz w:val="22"/>
          <w:szCs w:val="22"/>
        </w:rPr>
        <w:t xml:space="preserve">nombrados </w:t>
      </w:r>
      <w:r w:rsidR="00A3462A">
        <w:rPr>
          <w:rFonts w:ascii="Verdana" w:hAnsi="Verdana"/>
          <w:sz w:val="22"/>
          <w:szCs w:val="22"/>
        </w:rPr>
        <w:t xml:space="preserve">por el Pleno </w:t>
      </w:r>
      <w:r>
        <w:rPr>
          <w:rFonts w:ascii="Verdana" w:hAnsi="Verdana"/>
          <w:sz w:val="22"/>
          <w:szCs w:val="22"/>
        </w:rPr>
        <w:t xml:space="preserve">a propuesta de la Comisión de Igualdad tras un proceso selectivo público entre miembros de la Carrera Judicial, ha empezado hoy su andadura </w:t>
      </w:r>
      <w:r w:rsidR="00933449">
        <w:rPr>
          <w:rFonts w:ascii="Verdana" w:hAnsi="Verdana"/>
          <w:sz w:val="22"/>
          <w:szCs w:val="22"/>
        </w:rPr>
        <w:t>con</w:t>
      </w:r>
      <w:r>
        <w:rPr>
          <w:rFonts w:ascii="Verdana" w:hAnsi="Verdana"/>
          <w:sz w:val="22"/>
          <w:szCs w:val="22"/>
        </w:rPr>
        <w:t xml:space="preserve"> la formación de sus grupos de trabajo. </w:t>
      </w:r>
    </w:p>
    <w:p w14:paraId="55501776" w14:textId="77777777" w:rsidR="00B4287B" w:rsidRDefault="00B4287B" w:rsidP="00914A2E">
      <w:pPr>
        <w:jc w:val="both"/>
        <w:rPr>
          <w:rFonts w:ascii="Verdana" w:hAnsi="Verdana"/>
          <w:sz w:val="22"/>
          <w:szCs w:val="22"/>
        </w:rPr>
      </w:pPr>
    </w:p>
    <w:p w14:paraId="456E8FDB" w14:textId="5AB5845D" w:rsidR="00B4287B" w:rsidRDefault="0052002B" w:rsidP="00914A2E">
      <w:pPr>
        <w:jc w:val="both"/>
        <w:rPr>
          <w:rFonts w:ascii="Verdana" w:hAnsi="Verdana"/>
          <w:sz w:val="22"/>
          <w:szCs w:val="22"/>
        </w:rPr>
      </w:pPr>
      <w:r>
        <w:rPr>
          <w:rFonts w:ascii="Verdana" w:hAnsi="Verdana"/>
          <w:sz w:val="22"/>
          <w:szCs w:val="22"/>
        </w:rPr>
        <w:t xml:space="preserve">La función de la REI, inspirada en modelos ya consolidados en el CGPJ como la REDUE (Red de Especialista en Derecho de la Unión Europea) y la REJUE (Red Judicial Española), es </w:t>
      </w:r>
      <w:r w:rsidR="00753812">
        <w:rPr>
          <w:rFonts w:ascii="Verdana" w:hAnsi="Verdana"/>
          <w:sz w:val="22"/>
          <w:szCs w:val="22"/>
        </w:rPr>
        <w:t xml:space="preserve">ofrecer </w:t>
      </w:r>
      <w:r>
        <w:rPr>
          <w:rFonts w:ascii="Verdana" w:hAnsi="Verdana"/>
          <w:sz w:val="22"/>
          <w:szCs w:val="22"/>
        </w:rPr>
        <w:t xml:space="preserve">a </w:t>
      </w:r>
      <w:r w:rsidR="00753812">
        <w:rPr>
          <w:rFonts w:ascii="Verdana" w:hAnsi="Verdana"/>
          <w:sz w:val="22"/>
          <w:szCs w:val="22"/>
        </w:rPr>
        <w:t xml:space="preserve">todos </w:t>
      </w:r>
      <w:r>
        <w:rPr>
          <w:rFonts w:ascii="Verdana" w:hAnsi="Verdana"/>
          <w:sz w:val="22"/>
          <w:szCs w:val="22"/>
        </w:rPr>
        <w:t xml:space="preserve">los </w:t>
      </w:r>
      <w:r w:rsidR="00753812">
        <w:rPr>
          <w:rFonts w:ascii="Verdana" w:hAnsi="Verdana"/>
          <w:sz w:val="22"/>
          <w:szCs w:val="22"/>
        </w:rPr>
        <w:t>integrantes</w:t>
      </w:r>
      <w:r>
        <w:rPr>
          <w:rFonts w:ascii="Verdana" w:hAnsi="Verdana"/>
          <w:sz w:val="22"/>
          <w:szCs w:val="22"/>
        </w:rPr>
        <w:t xml:space="preserve"> de la Carrera Judicial </w:t>
      </w:r>
      <w:r w:rsidR="00753812">
        <w:rPr>
          <w:rFonts w:ascii="Verdana" w:hAnsi="Verdana"/>
          <w:sz w:val="22"/>
          <w:szCs w:val="22"/>
        </w:rPr>
        <w:t xml:space="preserve">el apoyo técnico y la información necesaria </w:t>
      </w:r>
      <w:r>
        <w:rPr>
          <w:rFonts w:ascii="Verdana" w:hAnsi="Verdana"/>
          <w:sz w:val="22"/>
          <w:szCs w:val="22"/>
        </w:rPr>
        <w:t xml:space="preserve">en cuestiones relacionadas con la </w:t>
      </w:r>
      <w:r w:rsidR="00753812">
        <w:rPr>
          <w:rFonts w:ascii="Verdana" w:hAnsi="Verdana"/>
          <w:sz w:val="22"/>
          <w:szCs w:val="22"/>
        </w:rPr>
        <w:t xml:space="preserve">aplicación del principio de </w:t>
      </w:r>
      <w:r>
        <w:rPr>
          <w:rFonts w:ascii="Verdana" w:hAnsi="Verdana"/>
          <w:sz w:val="22"/>
          <w:szCs w:val="22"/>
        </w:rPr>
        <w:t>igualdad</w:t>
      </w:r>
      <w:r w:rsidR="00753812">
        <w:rPr>
          <w:rFonts w:ascii="Verdana" w:hAnsi="Verdana"/>
          <w:sz w:val="22"/>
          <w:szCs w:val="22"/>
        </w:rPr>
        <w:t>:</w:t>
      </w:r>
      <w:r>
        <w:rPr>
          <w:rFonts w:ascii="Verdana" w:hAnsi="Verdana"/>
          <w:sz w:val="22"/>
          <w:szCs w:val="22"/>
        </w:rPr>
        <w:t xml:space="preserve"> acceso a la justicia y enjuiciamiento con perspectiva de género</w:t>
      </w:r>
      <w:r w:rsidR="00753812">
        <w:rPr>
          <w:rFonts w:ascii="Verdana" w:hAnsi="Verdana"/>
          <w:sz w:val="22"/>
          <w:szCs w:val="22"/>
        </w:rPr>
        <w:t xml:space="preserve"> y también </w:t>
      </w:r>
      <w:r>
        <w:rPr>
          <w:rFonts w:ascii="Verdana" w:hAnsi="Verdana"/>
          <w:sz w:val="22"/>
          <w:szCs w:val="22"/>
        </w:rPr>
        <w:t xml:space="preserve">igualdad de oportunidades y conciliación laboral. </w:t>
      </w:r>
    </w:p>
    <w:p w14:paraId="14099CAA" w14:textId="77777777" w:rsidR="00B4287B" w:rsidRDefault="00B4287B" w:rsidP="00914A2E">
      <w:pPr>
        <w:jc w:val="both"/>
        <w:rPr>
          <w:rFonts w:ascii="Verdana" w:hAnsi="Verdana"/>
          <w:sz w:val="22"/>
          <w:szCs w:val="22"/>
        </w:rPr>
      </w:pPr>
    </w:p>
    <w:p w14:paraId="24AD701E" w14:textId="5C2691FE" w:rsidR="004E7F06" w:rsidRDefault="00045AA0" w:rsidP="00914A2E">
      <w:pPr>
        <w:jc w:val="both"/>
        <w:rPr>
          <w:rFonts w:ascii="Verdana" w:hAnsi="Verdana"/>
          <w:sz w:val="22"/>
          <w:szCs w:val="22"/>
        </w:rPr>
      </w:pPr>
      <w:r>
        <w:rPr>
          <w:rFonts w:ascii="Verdana" w:hAnsi="Verdana"/>
          <w:sz w:val="22"/>
          <w:szCs w:val="22"/>
        </w:rPr>
        <w:t xml:space="preserve">La </w:t>
      </w:r>
      <w:r w:rsidR="00166319">
        <w:rPr>
          <w:rFonts w:ascii="Verdana" w:hAnsi="Verdana"/>
          <w:sz w:val="22"/>
          <w:szCs w:val="22"/>
        </w:rPr>
        <w:t>Red</w:t>
      </w:r>
      <w:r w:rsidR="006C19F8">
        <w:rPr>
          <w:rFonts w:ascii="Verdana" w:hAnsi="Verdana"/>
          <w:sz w:val="22"/>
          <w:szCs w:val="22"/>
        </w:rPr>
        <w:t xml:space="preserve"> </w:t>
      </w:r>
      <w:r>
        <w:rPr>
          <w:rFonts w:ascii="Verdana" w:hAnsi="Verdana"/>
          <w:sz w:val="22"/>
          <w:szCs w:val="22"/>
        </w:rPr>
        <w:t xml:space="preserve">ha sido inaugurada </w:t>
      </w:r>
      <w:r w:rsidR="006C19F8">
        <w:rPr>
          <w:rFonts w:ascii="Verdana" w:hAnsi="Verdana"/>
          <w:sz w:val="22"/>
          <w:szCs w:val="22"/>
        </w:rPr>
        <w:t xml:space="preserve">hoy </w:t>
      </w:r>
      <w:r>
        <w:rPr>
          <w:rFonts w:ascii="Verdana" w:hAnsi="Verdana"/>
          <w:sz w:val="22"/>
          <w:szCs w:val="22"/>
        </w:rPr>
        <w:t xml:space="preserve">por la </w:t>
      </w:r>
      <w:r w:rsidR="00166319">
        <w:rPr>
          <w:rFonts w:ascii="Verdana" w:hAnsi="Verdana"/>
          <w:sz w:val="22"/>
          <w:szCs w:val="22"/>
        </w:rPr>
        <w:t>presidenta del Tribunal Supremo y del Consejo General del Poder Judicial, Isabel Perelló,</w:t>
      </w:r>
      <w:r w:rsidR="002324E7">
        <w:rPr>
          <w:rFonts w:ascii="Verdana" w:hAnsi="Verdana"/>
          <w:sz w:val="22"/>
          <w:szCs w:val="22"/>
        </w:rPr>
        <w:t xml:space="preserve"> </w:t>
      </w:r>
      <w:r>
        <w:rPr>
          <w:rFonts w:ascii="Verdana" w:hAnsi="Verdana"/>
          <w:sz w:val="22"/>
          <w:szCs w:val="22"/>
        </w:rPr>
        <w:t xml:space="preserve">y ha contado con el discurso inaugural de María Emilia Casas, jurista y expresidenta del Tribunal Constitucional. </w:t>
      </w:r>
      <w:r w:rsidR="006C19F8">
        <w:rPr>
          <w:rFonts w:ascii="Verdana" w:hAnsi="Verdana"/>
          <w:sz w:val="22"/>
          <w:szCs w:val="22"/>
        </w:rPr>
        <w:t xml:space="preserve">Las primeras palabras de </w:t>
      </w:r>
      <w:r>
        <w:rPr>
          <w:rFonts w:ascii="Verdana" w:hAnsi="Verdana"/>
          <w:sz w:val="22"/>
          <w:szCs w:val="22"/>
        </w:rPr>
        <w:t xml:space="preserve">la presidenta del TS y del CGPJ </w:t>
      </w:r>
      <w:r w:rsidR="004E7F06">
        <w:rPr>
          <w:rFonts w:ascii="Verdana" w:hAnsi="Verdana"/>
          <w:sz w:val="22"/>
          <w:szCs w:val="22"/>
        </w:rPr>
        <w:t>ha</w:t>
      </w:r>
      <w:r w:rsidR="005B3279">
        <w:rPr>
          <w:rFonts w:ascii="Verdana" w:hAnsi="Verdana"/>
          <w:sz w:val="22"/>
          <w:szCs w:val="22"/>
        </w:rPr>
        <w:t xml:space="preserve">n sido de </w:t>
      </w:r>
      <w:r w:rsidR="004E7F06">
        <w:rPr>
          <w:rFonts w:ascii="Verdana" w:hAnsi="Verdana"/>
          <w:sz w:val="22"/>
          <w:szCs w:val="22"/>
        </w:rPr>
        <w:t>agradec</w:t>
      </w:r>
      <w:r w:rsidR="005B3279">
        <w:rPr>
          <w:rFonts w:ascii="Verdana" w:hAnsi="Verdana"/>
          <w:sz w:val="22"/>
          <w:szCs w:val="22"/>
        </w:rPr>
        <w:t>imiento</w:t>
      </w:r>
      <w:r w:rsidR="004E7F06">
        <w:rPr>
          <w:rFonts w:ascii="Verdana" w:hAnsi="Verdana"/>
          <w:sz w:val="22"/>
          <w:szCs w:val="22"/>
        </w:rPr>
        <w:t xml:space="preserve"> a los vocales de la Comisión de Igualdad, Gema Espinosa, Carlos Hugo Preciado y Lucía Avilés, </w:t>
      </w:r>
      <w:r w:rsidR="005463D4">
        <w:rPr>
          <w:rFonts w:ascii="Verdana" w:hAnsi="Verdana"/>
          <w:sz w:val="22"/>
          <w:szCs w:val="22"/>
        </w:rPr>
        <w:t xml:space="preserve">por su trabajo </w:t>
      </w:r>
      <w:r w:rsidR="004E7F06">
        <w:rPr>
          <w:rFonts w:ascii="Verdana" w:hAnsi="Verdana"/>
          <w:sz w:val="22"/>
          <w:szCs w:val="22"/>
        </w:rPr>
        <w:t xml:space="preserve">y a los primeros treinta especialistas de la REI </w:t>
      </w:r>
      <w:r w:rsidR="005B3279">
        <w:rPr>
          <w:rFonts w:ascii="Verdana" w:hAnsi="Verdana"/>
          <w:sz w:val="22"/>
          <w:szCs w:val="22"/>
        </w:rPr>
        <w:t xml:space="preserve">por </w:t>
      </w:r>
      <w:r w:rsidR="00A60E53">
        <w:rPr>
          <w:rFonts w:ascii="Verdana" w:hAnsi="Verdana"/>
          <w:sz w:val="22"/>
          <w:szCs w:val="22"/>
        </w:rPr>
        <w:t xml:space="preserve">su compromiso </w:t>
      </w:r>
      <w:r w:rsidR="004E7F06">
        <w:rPr>
          <w:rFonts w:ascii="Verdana" w:hAnsi="Verdana"/>
          <w:sz w:val="22"/>
          <w:szCs w:val="22"/>
        </w:rPr>
        <w:t>para que este proyecto sea una realidad.</w:t>
      </w:r>
    </w:p>
    <w:p w14:paraId="35975600" w14:textId="77777777" w:rsidR="00FD4480" w:rsidRDefault="00FD4480" w:rsidP="00914A2E">
      <w:pPr>
        <w:jc w:val="both"/>
        <w:rPr>
          <w:rFonts w:ascii="Verdana" w:hAnsi="Verdana"/>
          <w:sz w:val="22"/>
          <w:szCs w:val="22"/>
        </w:rPr>
      </w:pPr>
    </w:p>
    <w:p w14:paraId="7E6DF743" w14:textId="3786487B" w:rsidR="0021721C" w:rsidRDefault="004E7F06" w:rsidP="00914A2E">
      <w:pPr>
        <w:jc w:val="both"/>
        <w:rPr>
          <w:rFonts w:ascii="Verdana" w:hAnsi="Verdana"/>
          <w:sz w:val="22"/>
          <w:szCs w:val="22"/>
        </w:rPr>
      </w:pPr>
      <w:r>
        <w:rPr>
          <w:rFonts w:ascii="Verdana" w:hAnsi="Verdana"/>
          <w:sz w:val="22"/>
          <w:szCs w:val="22"/>
        </w:rPr>
        <w:lastRenderedPageBreak/>
        <w:t xml:space="preserve">Perelló </w:t>
      </w:r>
      <w:r w:rsidR="0021721C">
        <w:rPr>
          <w:rFonts w:ascii="Verdana" w:hAnsi="Verdana"/>
          <w:sz w:val="22"/>
          <w:szCs w:val="22"/>
        </w:rPr>
        <w:t xml:space="preserve">ha recordado los importantes pasos dados en los últimos años por el CGPJ en materia de igualdad -entre ellos, los Planes de Igualdad de la Carrera Judicial o la Red de </w:t>
      </w:r>
      <w:proofErr w:type="gramStart"/>
      <w:r w:rsidR="0021721C">
        <w:rPr>
          <w:rFonts w:ascii="Verdana" w:hAnsi="Verdana"/>
          <w:sz w:val="22"/>
          <w:szCs w:val="22"/>
        </w:rPr>
        <w:t>Delegados</w:t>
      </w:r>
      <w:proofErr w:type="gramEnd"/>
      <w:r w:rsidR="0021721C">
        <w:rPr>
          <w:rFonts w:ascii="Verdana" w:hAnsi="Verdana"/>
          <w:sz w:val="22"/>
          <w:szCs w:val="22"/>
        </w:rPr>
        <w:t xml:space="preserve"> de Igualdad en los Tribunales Superiores de Justicia- y ha animado a “seguir avanzando”</w:t>
      </w:r>
      <w:r>
        <w:rPr>
          <w:rFonts w:ascii="Verdana" w:hAnsi="Verdana"/>
          <w:sz w:val="22"/>
          <w:szCs w:val="22"/>
        </w:rPr>
        <w:t xml:space="preserve"> en esa dirección. “E</w:t>
      </w:r>
      <w:r w:rsidR="00834C75">
        <w:rPr>
          <w:rFonts w:ascii="Verdana" w:hAnsi="Verdana"/>
          <w:sz w:val="22"/>
          <w:szCs w:val="22"/>
        </w:rPr>
        <w:t>l principio de igualdad y la necesidad de juzgar con perspectiva de género han de estar siempre presentes en la labor diaria de los miembros de la Carrera Judicial”</w:t>
      </w:r>
      <w:r>
        <w:rPr>
          <w:rFonts w:ascii="Verdana" w:hAnsi="Verdana"/>
          <w:sz w:val="22"/>
          <w:szCs w:val="22"/>
        </w:rPr>
        <w:t>, ha señalado</w:t>
      </w:r>
      <w:r w:rsidR="00834C75">
        <w:rPr>
          <w:rFonts w:ascii="Verdana" w:hAnsi="Verdana"/>
          <w:sz w:val="22"/>
          <w:szCs w:val="22"/>
        </w:rPr>
        <w:t>.</w:t>
      </w:r>
    </w:p>
    <w:p w14:paraId="3F7A822A" w14:textId="77777777" w:rsidR="00834C75" w:rsidRDefault="00834C75" w:rsidP="00914A2E">
      <w:pPr>
        <w:jc w:val="both"/>
        <w:rPr>
          <w:rFonts w:ascii="Verdana" w:hAnsi="Verdana"/>
          <w:sz w:val="22"/>
          <w:szCs w:val="22"/>
        </w:rPr>
      </w:pPr>
    </w:p>
    <w:p w14:paraId="0A8F7E21" w14:textId="7E9A0855" w:rsidR="00B4287B" w:rsidRDefault="001B7F54" w:rsidP="00914A2E">
      <w:pPr>
        <w:jc w:val="both"/>
        <w:rPr>
          <w:rFonts w:ascii="Verdana" w:hAnsi="Verdana"/>
          <w:sz w:val="22"/>
          <w:szCs w:val="22"/>
        </w:rPr>
      </w:pPr>
      <w:r>
        <w:rPr>
          <w:rFonts w:ascii="Verdana" w:hAnsi="Verdana"/>
          <w:sz w:val="22"/>
          <w:szCs w:val="22"/>
        </w:rPr>
        <w:t xml:space="preserve">En su opinión, la creación de la REI es una muestra más del compromiso del CGPJ, por lo que ha asegurado que “hoy es un día especialmente importante para el Poder Judicial en nuestro país y para el avance de las mujeres en general”. </w:t>
      </w:r>
    </w:p>
    <w:p w14:paraId="4A4B5632" w14:textId="77777777" w:rsidR="00B4287B" w:rsidRDefault="00B4287B" w:rsidP="00914A2E">
      <w:pPr>
        <w:jc w:val="both"/>
        <w:rPr>
          <w:rFonts w:ascii="Verdana" w:hAnsi="Verdana"/>
          <w:sz w:val="22"/>
          <w:szCs w:val="22"/>
        </w:rPr>
      </w:pPr>
    </w:p>
    <w:p w14:paraId="54A4B642" w14:textId="2ABEFD4C" w:rsidR="001B7F54" w:rsidRDefault="001B7F54" w:rsidP="00914A2E">
      <w:pPr>
        <w:jc w:val="both"/>
        <w:rPr>
          <w:rFonts w:ascii="Verdana" w:hAnsi="Verdana"/>
          <w:sz w:val="22"/>
          <w:szCs w:val="22"/>
        </w:rPr>
      </w:pPr>
      <w:r>
        <w:rPr>
          <w:rFonts w:ascii="Verdana" w:hAnsi="Verdana"/>
          <w:sz w:val="22"/>
          <w:szCs w:val="22"/>
        </w:rPr>
        <w:t xml:space="preserve">Para Isabel Perelló, la REI constituye un “valioso apoyo técnico” que complementará y fortalecerá la labor de los órganos judiciales en materia de “igualdad, conciliación y corresponsabilidad”. Y, más allá, la Red pretende ser un “espacio de reflexión, intercambio y construcción colectiva”, respondiendo de este modo a una necesidad estratégica del Poder Judicial en su compromiso con la igualdad real y efectiva recogida en la Constitución.  </w:t>
      </w:r>
    </w:p>
    <w:p w14:paraId="6C7F8BF1" w14:textId="77777777" w:rsidR="00045AA0" w:rsidRDefault="00045AA0" w:rsidP="00914A2E">
      <w:pPr>
        <w:jc w:val="both"/>
        <w:rPr>
          <w:rFonts w:ascii="Verdana" w:hAnsi="Verdana"/>
          <w:sz w:val="22"/>
          <w:szCs w:val="22"/>
        </w:rPr>
      </w:pPr>
    </w:p>
    <w:p w14:paraId="31424E8F" w14:textId="2068A7FD" w:rsidR="00E54628" w:rsidRPr="00E54628" w:rsidRDefault="00E54628" w:rsidP="006C19F8">
      <w:pPr>
        <w:jc w:val="both"/>
        <w:rPr>
          <w:rFonts w:ascii="Verdana" w:hAnsi="Verdana"/>
          <w:b/>
          <w:bCs/>
          <w:sz w:val="22"/>
          <w:szCs w:val="22"/>
        </w:rPr>
      </w:pPr>
      <w:r w:rsidRPr="00E54628">
        <w:rPr>
          <w:rFonts w:ascii="Verdana" w:hAnsi="Verdana"/>
          <w:b/>
          <w:bCs/>
          <w:sz w:val="22"/>
          <w:szCs w:val="22"/>
        </w:rPr>
        <w:t>Organización y funciones de la REI</w:t>
      </w:r>
    </w:p>
    <w:p w14:paraId="5D4FFCC3" w14:textId="77777777" w:rsidR="00E54628" w:rsidRDefault="00E54628" w:rsidP="006C19F8">
      <w:pPr>
        <w:jc w:val="both"/>
        <w:rPr>
          <w:rFonts w:ascii="Verdana" w:hAnsi="Verdana"/>
          <w:sz w:val="22"/>
          <w:szCs w:val="22"/>
        </w:rPr>
      </w:pPr>
    </w:p>
    <w:p w14:paraId="01CBD738" w14:textId="7757C5BB" w:rsidR="006C19F8" w:rsidRDefault="006C19F8" w:rsidP="006C19F8">
      <w:pPr>
        <w:jc w:val="both"/>
        <w:rPr>
          <w:rFonts w:ascii="Verdana" w:hAnsi="Verdana"/>
          <w:sz w:val="22"/>
          <w:szCs w:val="22"/>
        </w:rPr>
      </w:pPr>
      <w:r>
        <w:rPr>
          <w:rFonts w:ascii="Verdana" w:hAnsi="Verdana"/>
          <w:sz w:val="22"/>
          <w:szCs w:val="22"/>
        </w:rPr>
        <w:t xml:space="preserve">La </w:t>
      </w:r>
      <w:r w:rsidR="00E54628">
        <w:rPr>
          <w:rFonts w:ascii="Verdana" w:hAnsi="Verdana"/>
          <w:sz w:val="22"/>
          <w:szCs w:val="22"/>
        </w:rPr>
        <w:t>REI</w:t>
      </w:r>
      <w:r>
        <w:rPr>
          <w:rFonts w:ascii="Verdana" w:hAnsi="Verdana"/>
          <w:sz w:val="22"/>
          <w:szCs w:val="22"/>
        </w:rPr>
        <w:t xml:space="preserve">, integrada por treinta jueces/as y magistrados/as especialistas, se estructura en grupos de trabajo que coinciden con los distintos órdenes jurisdiccionales (Civil, Penal, Contencioso-Administrativo y Social) y con áreas temáticas </w:t>
      </w:r>
      <w:r w:rsidRPr="0090362D">
        <w:rPr>
          <w:rFonts w:ascii="Verdana" w:hAnsi="Verdana"/>
          <w:sz w:val="22"/>
          <w:szCs w:val="22"/>
        </w:rPr>
        <w:t>que abordan problemáticas sociales específicas</w:t>
      </w:r>
      <w:r>
        <w:rPr>
          <w:rFonts w:ascii="Verdana" w:hAnsi="Verdana"/>
          <w:sz w:val="22"/>
          <w:szCs w:val="22"/>
        </w:rPr>
        <w:t xml:space="preserve"> como la trata de seres humanos, el antigitanismo, LGTBIQ+, personas migrantes y edadismo en la sociedad, c</w:t>
      </w:r>
      <w:r w:rsidRPr="0090362D">
        <w:rPr>
          <w:rFonts w:ascii="Verdana" w:hAnsi="Verdana"/>
          <w:sz w:val="22"/>
          <w:szCs w:val="22"/>
        </w:rPr>
        <w:t xml:space="preserve">on especial atención a su impacto en el ámbito judicial. </w:t>
      </w:r>
      <w:r>
        <w:rPr>
          <w:rFonts w:ascii="Verdana" w:hAnsi="Verdana"/>
          <w:sz w:val="22"/>
          <w:szCs w:val="22"/>
        </w:rPr>
        <w:t>Una organización que responde a la transversalidad del principio de igualdad y de la necesidad de juzgar con perspectiva de género en todos los ámbitos del Derecho.</w:t>
      </w:r>
    </w:p>
    <w:p w14:paraId="5038A1BA" w14:textId="77777777" w:rsidR="00045AA0" w:rsidRDefault="00045AA0" w:rsidP="00914A2E">
      <w:pPr>
        <w:jc w:val="both"/>
        <w:rPr>
          <w:rFonts w:ascii="Verdana" w:hAnsi="Verdana"/>
          <w:sz w:val="22"/>
          <w:szCs w:val="22"/>
        </w:rPr>
      </w:pPr>
    </w:p>
    <w:p w14:paraId="09020BF1" w14:textId="11B8BDD8" w:rsidR="00BF6C75" w:rsidRDefault="00BF6C75" w:rsidP="00BF6C75">
      <w:pPr>
        <w:jc w:val="both"/>
        <w:rPr>
          <w:rFonts w:ascii="Verdana" w:hAnsi="Verdana"/>
          <w:sz w:val="22"/>
          <w:szCs w:val="22"/>
        </w:rPr>
      </w:pPr>
      <w:r>
        <w:rPr>
          <w:rFonts w:ascii="Verdana" w:hAnsi="Verdana"/>
          <w:sz w:val="22"/>
          <w:szCs w:val="22"/>
        </w:rPr>
        <w:t xml:space="preserve">Entre </w:t>
      </w:r>
      <w:r w:rsidR="00E54628">
        <w:rPr>
          <w:rFonts w:ascii="Verdana" w:hAnsi="Verdana"/>
          <w:sz w:val="22"/>
          <w:szCs w:val="22"/>
        </w:rPr>
        <w:t>sus</w:t>
      </w:r>
      <w:r>
        <w:rPr>
          <w:rFonts w:ascii="Verdana" w:hAnsi="Verdana"/>
          <w:sz w:val="22"/>
          <w:szCs w:val="22"/>
        </w:rPr>
        <w:t xml:space="preserve"> funciones destaca la e</w:t>
      </w:r>
      <w:r w:rsidRPr="00D86DEC">
        <w:rPr>
          <w:rFonts w:ascii="Verdana" w:hAnsi="Verdana"/>
          <w:sz w:val="22"/>
          <w:szCs w:val="22"/>
        </w:rPr>
        <w:t xml:space="preserve">laboración </w:t>
      </w:r>
      <w:r w:rsidRPr="00C64767">
        <w:rPr>
          <w:rFonts w:ascii="Verdana" w:hAnsi="Verdana"/>
          <w:sz w:val="22"/>
          <w:szCs w:val="22"/>
        </w:rPr>
        <w:t>de estudios, guías y protocolos que favorezcan la igualdad efectiva dentro y fuera del ámbito judicial</w:t>
      </w:r>
      <w:r>
        <w:rPr>
          <w:rFonts w:ascii="Verdana" w:hAnsi="Verdana"/>
          <w:sz w:val="22"/>
          <w:szCs w:val="22"/>
        </w:rPr>
        <w:t>. Así, está prevista la elaboración, entre otras, de</w:t>
      </w:r>
      <w:r w:rsidRPr="00D86DEC">
        <w:rPr>
          <w:rFonts w:ascii="Verdana" w:hAnsi="Verdana"/>
          <w:sz w:val="22"/>
          <w:szCs w:val="22"/>
        </w:rPr>
        <w:t xml:space="preserve"> </w:t>
      </w:r>
      <w:r>
        <w:rPr>
          <w:rFonts w:ascii="Verdana" w:hAnsi="Verdana"/>
          <w:sz w:val="22"/>
          <w:szCs w:val="22"/>
        </w:rPr>
        <w:t>una</w:t>
      </w:r>
      <w:r w:rsidRPr="00D86DEC">
        <w:rPr>
          <w:rFonts w:ascii="Verdana" w:hAnsi="Verdana"/>
          <w:sz w:val="22"/>
          <w:szCs w:val="22"/>
        </w:rPr>
        <w:t xml:space="preserve"> Guía de Perspectiva de Género</w:t>
      </w:r>
      <w:r>
        <w:rPr>
          <w:rFonts w:ascii="Verdana" w:hAnsi="Verdana"/>
          <w:sz w:val="22"/>
          <w:szCs w:val="22"/>
        </w:rPr>
        <w:t xml:space="preserve"> en la que participarán </w:t>
      </w:r>
      <w:r w:rsidRPr="00D86DEC">
        <w:rPr>
          <w:rFonts w:ascii="Verdana" w:hAnsi="Verdana"/>
          <w:sz w:val="22"/>
          <w:szCs w:val="22"/>
        </w:rPr>
        <w:t xml:space="preserve">ocho </w:t>
      </w:r>
      <w:r>
        <w:rPr>
          <w:rFonts w:ascii="Verdana" w:hAnsi="Verdana"/>
          <w:sz w:val="22"/>
          <w:szCs w:val="22"/>
        </w:rPr>
        <w:t>magistradas</w:t>
      </w:r>
      <w:r w:rsidRPr="00D86DEC">
        <w:rPr>
          <w:rFonts w:ascii="Verdana" w:hAnsi="Verdana"/>
          <w:sz w:val="22"/>
          <w:szCs w:val="22"/>
        </w:rPr>
        <w:t xml:space="preserve">, dos por cada </w:t>
      </w:r>
      <w:r>
        <w:rPr>
          <w:rFonts w:ascii="Verdana" w:hAnsi="Verdana"/>
          <w:sz w:val="22"/>
          <w:szCs w:val="22"/>
        </w:rPr>
        <w:t>orden jurisdiccional</w:t>
      </w:r>
      <w:r w:rsidRPr="00D86DEC">
        <w:rPr>
          <w:rFonts w:ascii="Verdana" w:hAnsi="Verdana"/>
          <w:sz w:val="22"/>
          <w:szCs w:val="22"/>
        </w:rPr>
        <w:t xml:space="preserve">, con el </w:t>
      </w:r>
      <w:r w:rsidR="00E54628">
        <w:rPr>
          <w:rFonts w:ascii="Verdana" w:hAnsi="Verdana"/>
          <w:sz w:val="22"/>
          <w:szCs w:val="22"/>
        </w:rPr>
        <w:t>fin</w:t>
      </w:r>
      <w:r w:rsidRPr="00D86DEC">
        <w:rPr>
          <w:rFonts w:ascii="Verdana" w:hAnsi="Verdana"/>
          <w:sz w:val="22"/>
          <w:szCs w:val="22"/>
        </w:rPr>
        <w:t xml:space="preserve"> de integrar la perspectiva de género en la práctica judicial.</w:t>
      </w:r>
    </w:p>
    <w:p w14:paraId="3AC6D4F7" w14:textId="2163B421" w:rsidR="00BF6C75" w:rsidRDefault="00BF6C75" w:rsidP="00BF6C75">
      <w:pPr>
        <w:jc w:val="both"/>
        <w:rPr>
          <w:rFonts w:ascii="Verdana" w:hAnsi="Verdana"/>
          <w:sz w:val="22"/>
          <w:szCs w:val="22"/>
        </w:rPr>
      </w:pPr>
      <w:r>
        <w:rPr>
          <w:rFonts w:ascii="Verdana" w:hAnsi="Verdana"/>
          <w:sz w:val="22"/>
          <w:szCs w:val="22"/>
        </w:rPr>
        <w:t xml:space="preserve"> </w:t>
      </w:r>
    </w:p>
    <w:p w14:paraId="18EBAC47" w14:textId="0AE48F4A" w:rsidR="00BF6C75" w:rsidRDefault="00BF6C75" w:rsidP="00914A2E">
      <w:pPr>
        <w:jc w:val="both"/>
        <w:rPr>
          <w:rFonts w:ascii="Verdana" w:hAnsi="Verdana"/>
          <w:sz w:val="22"/>
          <w:szCs w:val="22"/>
        </w:rPr>
      </w:pPr>
      <w:r>
        <w:rPr>
          <w:rFonts w:ascii="Verdana" w:hAnsi="Verdana"/>
          <w:sz w:val="22"/>
          <w:szCs w:val="22"/>
        </w:rPr>
        <w:t xml:space="preserve">También se trabajará en </w:t>
      </w:r>
      <w:r w:rsidRPr="00C64767">
        <w:rPr>
          <w:rFonts w:ascii="Verdana" w:hAnsi="Verdana"/>
          <w:sz w:val="22"/>
          <w:szCs w:val="22"/>
        </w:rPr>
        <w:t>el análisis de derechos, licencias y medidas de conciliación en la Carrera Judicial</w:t>
      </w:r>
      <w:r>
        <w:rPr>
          <w:rFonts w:ascii="Verdana" w:hAnsi="Verdana"/>
          <w:sz w:val="22"/>
          <w:szCs w:val="22"/>
        </w:rPr>
        <w:t>; en la ide</w:t>
      </w:r>
      <w:r w:rsidRPr="00D86DEC">
        <w:rPr>
          <w:rFonts w:ascii="Verdana" w:hAnsi="Verdana"/>
          <w:sz w:val="22"/>
          <w:szCs w:val="22"/>
        </w:rPr>
        <w:t>ntificación</w:t>
      </w:r>
      <w:r>
        <w:rPr>
          <w:rFonts w:ascii="Verdana" w:hAnsi="Verdana"/>
          <w:sz w:val="22"/>
          <w:szCs w:val="22"/>
        </w:rPr>
        <w:t>, marcaje y análisis</w:t>
      </w:r>
      <w:r w:rsidRPr="00D86DEC">
        <w:rPr>
          <w:rFonts w:ascii="Verdana" w:hAnsi="Verdana"/>
          <w:sz w:val="22"/>
          <w:szCs w:val="22"/>
        </w:rPr>
        <w:t xml:space="preserve"> de resoluciones relevantes para la igualdad</w:t>
      </w:r>
      <w:r>
        <w:rPr>
          <w:rFonts w:ascii="Verdana" w:hAnsi="Verdana"/>
          <w:sz w:val="22"/>
          <w:szCs w:val="22"/>
        </w:rPr>
        <w:t>; en la a</w:t>
      </w:r>
      <w:r w:rsidRPr="00D86DEC">
        <w:rPr>
          <w:rFonts w:ascii="Verdana" w:hAnsi="Verdana"/>
          <w:sz w:val="22"/>
          <w:szCs w:val="22"/>
        </w:rPr>
        <w:t xml:space="preserve">ctualización normativa y jurisprudencial </w:t>
      </w:r>
      <w:r>
        <w:rPr>
          <w:rFonts w:ascii="Verdana" w:hAnsi="Verdana"/>
          <w:sz w:val="22"/>
          <w:szCs w:val="22"/>
        </w:rPr>
        <w:t>en materia de igualdad de trato, no discriminación y aplicación de la perspectiva de género; en la p</w:t>
      </w:r>
      <w:r w:rsidRPr="00082457">
        <w:rPr>
          <w:rFonts w:ascii="Verdana" w:hAnsi="Verdana"/>
          <w:sz w:val="22"/>
          <w:szCs w:val="22"/>
        </w:rPr>
        <w:t>ropuesta y participación en actividades formativas dirigidas a la Carrera Judicial, en coordinación con la Escuela Judicial</w:t>
      </w:r>
      <w:r>
        <w:rPr>
          <w:rFonts w:ascii="Verdana" w:hAnsi="Verdana"/>
          <w:sz w:val="22"/>
          <w:szCs w:val="22"/>
        </w:rPr>
        <w:t xml:space="preserve"> y en el i</w:t>
      </w:r>
      <w:r w:rsidRPr="00082457">
        <w:rPr>
          <w:rFonts w:ascii="Verdana" w:hAnsi="Verdana"/>
          <w:sz w:val="22"/>
          <w:szCs w:val="22"/>
        </w:rPr>
        <w:t>mpulso del lenguaje inclusivo</w:t>
      </w:r>
      <w:r>
        <w:rPr>
          <w:rFonts w:ascii="Verdana" w:hAnsi="Verdana"/>
          <w:sz w:val="22"/>
          <w:szCs w:val="22"/>
        </w:rPr>
        <w:t>.</w:t>
      </w:r>
    </w:p>
    <w:sectPr w:rsidR="00BF6C7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80F15" w14:textId="77777777" w:rsidR="00D809D7" w:rsidRDefault="00D809D7">
      <w:r>
        <w:separator/>
      </w:r>
    </w:p>
  </w:endnote>
  <w:endnote w:type="continuationSeparator" w:id="0">
    <w:p w14:paraId="4244F2C2" w14:textId="77777777" w:rsidR="00D809D7" w:rsidRDefault="00D8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9969B" w14:textId="1D03D7CC" w:rsidR="00761056" w:rsidRDefault="001A7400" w:rsidP="00761056">
    <w:pPr>
      <w:pStyle w:val="Piedepgina"/>
      <w:ind w:firstLine="708"/>
      <w:rPr>
        <w:rFonts w:ascii="Verdana" w:hAnsi="Verdana"/>
        <w:sz w:val="20"/>
        <w:szCs w:val="20"/>
      </w:rPr>
    </w:pPr>
    <w:r>
      <w:rPr>
        <w:rFonts w:ascii="Verdana" w:hAnsi="Verdana"/>
        <w:noProof/>
        <w:sz w:val="20"/>
        <w:szCs w:val="20"/>
      </w:rPr>
      <w:drawing>
        <wp:anchor distT="0" distB="0" distL="114300" distR="114300" simplePos="0" relativeHeight="251662848" behindDoc="0" locked="0" layoutInCell="1" allowOverlap="1" wp14:anchorId="72651C7F" wp14:editId="6AE08824">
          <wp:simplePos x="0" y="0"/>
          <wp:positionH relativeFrom="column">
            <wp:posOffset>281940</wp:posOffset>
          </wp:positionH>
          <wp:positionV relativeFrom="paragraph">
            <wp:posOffset>149860</wp:posOffset>
          </wp:positionV>
          <wp:extent cx="161925" cy="161925"/>
          <wp:effectExtent l="0" t="0" r="9525" b="9525"/>
          <wp:wrapThrough wrapText="bothSides">
            <wp:wrapPolygon edited="0">
              <wp:start x="0" y="0"/>
              <wp:lineTo x="0" y="20329"/>
              <wp:lineTo x="20329" y="20329"/>
              <wp:lineTo x="20329" y="0"/>
              <wp:lineTo x="0" y="0"/>
            </wp:wrapPolygon>
          </wp:wrapThrough>
          <wp:docPr id="468232064"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32064" name="Imagen 3"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61925" cy="161925"/>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noProof/>
        <w:sz w:val="20"/>
        <w:szCs w:val="20"/>
      </w:rPr>
      <w:drawing>
        <wp:anchor distT="0" distB="0" distL="114300" distR="114300" simplePos="0" relativeHeight="251656704" behindDoc="1" locked="0" layoutInCell="1" allowOverlap="1" wp14:anchorId="5B9E16ED" wp14:editId="557A940F">
          <wp:simplePos x="0" y="0"/>
          <wp:positionH relativeFrom="column">
            <wp:posOffset>17145</wp:posOffset>
          </wp:positionH>
          <wp:positionV relativeFrom="paragraph">
            <wp:posOffset>143184</wp:posOffset>
          </wp:positionV>
          <wp:extent cx="269240" cy="17526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st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69240" cy="175260"/>
                  </a:xfrm>
                  <a:prstGeom prst="rect">
                    <a:avLst/>
                  </a:prstGeom>
                </pic:spPr>
              </pic:pic>
            </a:graphicData>
          </a:graphic>
          <wp14:sizeRelH relativeFrom="margin">
            <wp14:pctWidth>0</wp14:pctWidth>
          </wp14:sizeRelH>
          <wp14:sizeRelV relativeFrom="margin">
            <wp14:pctHeight>0</wp14:pctHeight>
          </wp14:sizeRelV>
        </wp:anchor>
      </w:drawing>
    </w:r>
    <w:r w:rsidR="004D4F86">
      <w:rPr>
        <w:rFonts w:ascii="Verdana" w:hAnsi="Verdana"/>
        <w:noProof/>
        <w:sz w:val="20"/>
        <w:szCs w:val="20"/>
      </w:rPr>
      <w:drawing>
        <wp:anchor distT="0" distB="0" distL="114300" distR="114300" simplePos="0" relativeHeight="251659776" behindDoc="1" locked="0" layoutInCell="1" allowOverlap="1" wp14:anchorId="68B84EB3" wp14:editId="4C14930C">
          <wp:simplePos x="0" y="0"/>
          <wp:positionH relativeFrom="column">
            <wp:posOffset>-129540</wp:posOffset>
          </wp:positionH>
          <wp:positionV relativeFrom="paragraph">
            <wp:posOffset>145724</wp:posOffset>
          </wp:positionV>
          <wp:extent cx="169121" cy="160491"/>
          <wp:effectExtent l="0" t="0" r="2540" b="0"/>
          <wp:wrapNone/>
          <wp:docPr id="608179619"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79619" name="Imagen 1" descr="Icon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69121" cy="160491"/>
                  </a:xfrm>
                  <a:prstGeom prst="rect">
                    <a:avLst/>
                  </a:prstGeom>
                </pic:spPr>
              </pic:pic>
            </a:graphicData>
          </a:graphic>
          <wp14:sizeRelH relativeFrom="margin">
            <wp14:pctWidth>0</wp14:pctWidth>
          </wp14:sizeRelH>
          <wp14:sizeRelV relativeFrom="margin">
            <wp14:pctHeight>0</wp14:pctHeight>
          </wp14:sizeRelV>
        </wp:anchor>
      </w:drawing>
    </w:r>
    <w:r w:rsidR="00DA5173" w:rsidRPr="0064174D">
      <w:rPr>
        <w:rFonts w:ascii="Verdana" w:hAnsi="Verdana"/>
        <w:noProof/>
        <w:color w:val="C00000"/>
        <w:sz w:val="20"/>
        <w:szCs w:val="20"/>
      </w:rPr>
      <mc:AlternateContent>
        <mc:Choice Requires="wps">
          <w:drawing>
            <wp:anchor distT="0" distB="0" distL="114300" distR="114300" simplePos="0" relativeHeight="251652608" behindDoc="0" locked="0" layoutInCell="1" allowOverlap="1" wp14:anchorId="39DF6400" wp14:editId="4A0C236C">
              <wp:simplePos x="0" y="0"/>
              <wp:positionH relativeFrom="column">
                <wp:posOffset>-135255</wp:posOffset>
              </wp:positionH>
              <wp:positionV relativeFrom="paragraph">
                <wp:posOffset>45720</wp:posOffset>
              </wp:positionV>
              <wp:extent cx="5539105" cy="10160"/>
              <wp:effectExtent l="0" t="0" r="23495" b="27940"/>
              <wp:wrapNone/>
              <wp:docPr id="3" name="3 Conector recto"/>
              <wp:cNvGraphicFramePr/>
              <a:graphic xmlns:a="http://schemas.openxmlformats.org/drawingml/2006/main">
                <a:graphicData uri="http://schemas.microsoft.com/office/word/2010/wordprocessingShape">
                  <wps:wsp>
                    <wps:cNvCnPr/>
                    <wps:spPr>
                      <a:xfrm>
                        <a:off x="0" y="0"/>
                        <a:ext cx="5539105" cy="10160"/>
                      </a:xfrm>
                      <a:prstGeom prst="line">
                        <a:avLst/>
                      </a:prstGeom>
                      <a:ln w="6350">
                        <a:solidFill>
                          <a:srgbClr val="C0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2EF324" id="3 Conector recto"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5pt,3.6pt" to="425.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" strokecolor="#c00000" strokeweight=".5pt"/>
          </w:pict>
        </mc:Fallback>
      </mc:AlternateContent>
    </w:r>
  </w:p>
  <w:p w14:paraId="25E3A209" w14:textId="42D3B71A" w:rsidR="00761056" w:rsidRPr="00761056" w:rsidRDefault="00761056" w:rsidP="00761056">
    <w:pPr>
      <w:pStyle w:val="Piedepgina"/>
      <w:rPr>
        <w:rFonts w:ascii="Verdana" w:hAnsi="Verdana"/>
        <w:sz w:val="20"/>
        <w:szCs w:val="20"/>
      </w:rPr>
    </w:pPr>
    <w:r>
      <w:rPr>
        <w:rFonts w:ascii="Verdana" w:hAnsi="Verdana"/>
        <w:sz w:val="20"/>
        <w:szCs w:val="20"/>
      </w:rPr>
      <w:t xml:space="preserve">       </w:t>
    </w:r>
    <w:r w:rsidR="001A7400">
      <w:rPr>
        <w:rFonts w:ascii="Verdana" w:hAnsi="Verdana"/>
        <w:sz w:val="20"/>
        <w:szCs w:val="20"/>
      </w:rPr>
      <w:t xml:space="preserve">    </w:t>
    </w:r>
    <w:r w:rsidRPr="00761056">
      <w:rPr>
        <w:rFonts w:ascii="Verdana" w:hAnsi="Verdana"/>
        <w:sz w:val="20"/>
        <w:szCs w:val="20"/>
      </w:rPr>
      <w:t>@PoderJudicialE</w:t>
    </w:r>
    <w:r w:rsidR="00857B42">
      <w:rPr>
        <w:rFonts w:ascii="Verdana" w:hAnsi="Verdana"/>
        <w:sz w:val="20"/>
        <w:szCs w:val="20"/>
      </w:rPr>
      <w:t>s</w:t>
    </w:r>
    <w:r w:rsidR="001A7400">
      <w:object w:dxaOrig="16514" w:dyaOrig="16532" w14:anchorId="00E58A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4.5pt;height:424.5pt">
          <v:imagedata r:id="rId4" o:title=""/>
        </v:shape>
        <o:OLEObject Type="Embed" ProgID="Unknown" ShapeID="_x0000_i1026" DrawAspect="Content" ObjectID="_1822219013" r:id="rId5"/>
      </w:object>
    </w:r>
    <w:r w:rsidR="001A7400">
      <w:rPr>
        <w:rFonts w:ascii="Verdana" w:hAnsi="Verdana"/>
        <w:noProof/>
        <w:sz w:val="20"/>
        <w:szCs w:val="20"/>
      </w:rPr>
      <w:drawing>
        <wp:inline distT="0" distB="0" distL="0" distR="0" wp14:anchorId="37653668" wp14:editId="6BC5E4D8">
          <wp:extent cx="5400040" cy="5400040"/>
          <wp:effectExtent l="0" t="0" r="0" b="0"/>
          <wp:docPr id="1283084212"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084212" name="Imagen 1" descr="Icono&#10;&#10;Descripción generada automáticamente"/>
                  <pic:cNvPicPr/>
                </pic:nvPicPr>
                <pic:blipFill>
                  <a:blip r:embed="rId6">
                    <a:extLst>
                      <a:ext uri="{28A0092B-C50C-407E-A947-70E740481C1C}">
                        <a14:useLocalDpi xmlns:a14="http://schemas.microsoft.com/office/drawing/2010/main" val="0"/>
                      </a:ext>
                    </a:extLst>
                  </a:blip>
                  <a:stretch>
                    <a:fillRect/>
                  </a:stretch>
                </pic:blipFill>
                <pic:spPr>
                  <a:xfrm>
                    <a:off x="0" y="0"/>
                    <a:ext cx="5400040" cy="5400040"/>
                  </a:xfrm>
                  <a:prstGeom prst="rect">
                    <a:avLst/>
                  </a:prstGeom>
                </pic:spPr>
              </pic:pic>
            </a:graphicData>
          </a:graphic>
        </wp:inline>
      </w:drawing>
    </w:r>
    <w:r>
      <w:rPr>
        <w:rFonts w:ascii="Verdana" w:hAnsi="Verdana"/>
        <w:sz w:val="20"/>
        <w:szCs w:val="20"/>
      </w:rPr>
      <w:tab/>
    </w:r>
    <w:r>
      <w:rPr>
        <w:rFonts w:ascii="Verdana" w:hAnsi="Verdana"/>
        <w:sz w:val="20"/>
        <w:szCs w:val="20"/>
      </w:rPr>
      <w:tab/>
    </w:r>
    <w:hyperlink r:id="rId7" w:history="1">
      <w:r w:rsidRPr="00EC73BD">
        <w:rPr>
          <w:rStyle w:val="Hipervnculo"/>
          <w:rFonts w:ascii="Verdana" w:hAnsi="Verdana"/>
          <w:sz w:val="20"/>
          <w:szCs w:val="20"/>
        </w:rPr>
        <w:t>www.poderjudicial.es</w:t>
      </w:r>
    </w:hyperlink>
    <w:r>
      <w:rPr>
        <w:rFonts w:ascii="Verdana" w:hAnsi="Verdana"/>
        <w:sz w:val="20"/>
        <w:szCs w:val="20"/>
      </w:rPr>
      <w:t xml:space="preserve"> </w:t>
    </w:r>
  </w:p>
  <w:p w14:paraId="28CBF210" w14:textId="77777777" w:rsidR="00761056" w:rsidRDefault="00761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18CA6" w14:textId="77777777" w:rsidR="00D809D7" w:rsidRDefault="00D809D7">
      <w:r>
        <w:separator/>
      </w:r>
    </w:p>
  </w:footnote>
  <w:footnote w:type="continuationSeparator" w:id="0">
    <w:p w14:paraId="5567DD2E" w14:textId="77777777" w:rsidR="00D809D7" w:rsidRDefault="00D80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C149D" w14:textId="77777777" w:rsidR="00315470" w:rsidRDefault="00E24154">
    <w:pPr>
      <w:pStyle w:val="Encabezado"/>
    </w:pPr>
    <w:r>
      <w:rPr>
        <w:noProof/>
      </w:rPr>
      <w:drawing>
        <wp:inline distT="0" distB="0" distL="0" distR="0" wp14:anchorId="03DE43F4" wp14:editId="00E1925B">
          <wp:extent cx="691610" cy="1035313"/>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4226" cy="1039229"/>
                  </a:xfrm>
                  <a:prstGeom prst="rect">
                    <a:avLst/>
                  </a:prstGeom>
                </pic:spPr>
              </pic:pic>
            </a:graphicData>
          </a:graphic>
        </wp:inline>
      </w:drawing>
    </w:r>
  </w:p>
  <w:p w14:paraId="47BFC9E3" w14:textId="77777777" w:rsidR="00315470" w:rsidRDefault="003154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567.5pt;height:1020pt;visibility:visible;mso-wrap-style:square" o:bullet="t">
        <v:imagedata r:id="rId1" o:title=""/>
      </v:shape>
    </w:pict>
  </w:numPicBullet>
  <w:abstractNum w:abstractNumId="0" w15:restartNumberingAfterBreak="0">
    <w:nsid w:val="58BC7786"/>
    <w:multiLevelType w:val="hybridMultilevel"/>
    <w:tmpl w:val="02DCE94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76652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6D52"/>
    <w:rsid w:val="00015AF9"/>
    <w:rsid w:val="00016265"/>
    <w:rsid w:val="000202CA"/>
    <w:rsid w:val="00022CF2"/>
    <w:rsid w:val="00033F0A"/>
    <w:rsid w:val="0003507D"/>
    <w:rsid w:val="00045AA0"/>
    <w:rsid w:val="00060513"/>
    <w:rsid w:val="0006197C"/>
    <w:rsid w:val="00064452"/>
    <w:rsid w:val="00071BDE"/>
    <w:rsid w:val="00076F8B"/>
    <w:rsid w:val="00086CD8"/>
    <w:rsid w:val="00090115"/>
    <w:rsid w:val="000919EC"/>
    <w:rsid w:val="000A0EEB"/>
    <w:rsid w:val="000A32AF"/>
    <w:rsid w:val="000D5AD8"/>
    <w:rsid w:val="000F6374"/>
    <w:rsid w:val="0010334D"/>
    <w:rsid w:val="00104A8B"/>
    <w:rsid w:val="00106737"/>
    <w:rsid w:val="00106D52"/>
    <w:rsid w:val="0010700F"/>
    <w:rsid w:val="00136FBE"/>
    <w:rsid w:val="0013733B"/>
    <w:rsid w:val="00160764"/>
    <w:rsid w:val="00162549"/>
    <w:rsid w:val="00163BFD"/>
    <w:rsid w:val="00166319"/>
    <w:rsid w:val="001709C9"/>
    <w:rsid w:val="00171DBF"/>
    <w:rsid w:val="00187680"/>
    <w:rsid w:val="00187A67"/>
    <w:rsid w:val="001900F3"/>
    <w:rsid w:val="001A50D8"/>
    <w:rsid w:val="001A7292"/>
    <w:rsid w:val="001A7400"/>
    <w:rsid w:val="001B7F54"/>
    <w:rsid w:val="001C18E9"/>
    <w:rsid w:val="001C67A6"/>
    <w:rsid w:val="001D5AE3"/>
    <w:rsid w:val="001F3450"/>
    <w:rsid w:val="001F4742"/>
    <w:rsid w:val="001F6F10"/>
    <w:rsid w:val="0021111D"/>
    <w:rsid w:val="00213F4B"/>
    <w:rsid w:val="00216AF2"/>
    <w:rsid w:val="0021721C"/>
    <w:rsid w:val="0022361A"/>
    <w:rsid w:val="002308C3"/>
    <w:rsid w:val="0023097C"/>
    <w:rsid w:val="002324E7"/>
    <w:rsid w:val="002327EC"/>
    <w:rsid w:val="00236EF9"/>
    <w:rsid w:val="002656DD"/>
    <w:rsid w:val="0028545F"/>
    <w:rsid w:val="002C056F"/>
    <w:rsid w:val="002E4FA9"/>
    <w:rsid w:val="002F1E56"/>
    <w:rsid w:val="00301823"/>
    <w:rsid w:val="0030598D"/>
    <w:rsid w:val="00313314"/>
    <w:rsid w:val="00313999"/>
    <w:rsid w:val="00315470"/>
    <w:rsid w:val="00324E38"/>
    <w:rsid w:val="00331815"/>
    <w:rsid w:val="00340DA9"/>
    <w:rsid w:val="00361CA4"/>
    <w:rsid w:val="003713EE"/>
    <w:rsid w:val="0039350C"/>
    <w:rsid w:val="00393A4F"/>
    <w:rsid w:val="00397E57"/>
    <w:rsid w:val="003A070C"/>
    <w:rsid w:val="003A36FB"/>
    <w:rsid w:val="003C091C"/>
    <w:rsid w:val="003D101B"/>
    <w:rsid w:val="003D2555"/>
    <w:rsid w:val="003D7384"/>
    <w:rsid w:val="003D79A0"/>
    <w:rsid w:val="003E470E"/>
    <w:rsid w:val="003F2B54"/>
    <w:rsid w:val="003F3133"/>
    <w:rsid w:val="004128F5"/>
    <w:rsid w:val="00415BC1"/>
    <w:rsid w:val="00417AFB"/>
    <w:rsid w:val="0042180E"/>
    <w:rsid w:val="00423858"/>
    <w:rsid w:val="00424C43"/>
    <w:rsid w:val="004251B2"/>
    <w:rsid w:val="00430248"/>
    <w:rsid w:val="00441A4E"/>
    <w:rsid w:val="004561B9"/>
    <w:rsid w:val="00464F54"/>
    <w:rsid w:val="004737F0"/>
    <w:rsid w:val="00483116"/>
    <w:rsid w:val="00491E79"/>
    <w:rsid w:val="0049273A"/>
    <w:rsid w:val="00494CB8"/>
    <w:rsid w:val="004A3D73"/>
    <w:rsid w:val="004B286C"/>
    <w:rsid w:val="004B53EF"/>
    <w:rsid w:val="004C171F"/>
    <w:rsid w:val="004C27C1"/>
    <w:rsid w:val="004C5B04"/>
    <w:rsid w:val="004D114E"/>
    <w:rsid w:val="004D4F86"/>
    <w:rsid w:val="004E5BFE"/>
    <w:rsid w:val="004E7452"/>
    <w:rsid w:val="004E7F06"/>
    <w:rsid w:val="004F14CA"/>
    <w:rsid w:val="004F1CC8"/>
    <w:rsid w:val="004F6B1A"/>
    <w:rsid w:val="004F7D9A"/>
    <w:rsid w:val="00506ABA"/>
    <w:rsid w:val="00510F43"/>
    <w:rsid w:val="0052002B"/>
    <w:rsid w:val="00525170"/>
    <w:rsid w:val="00534123"/>
    <w:rsid w:val="005376BB"/>
    <w:rsid w:val="00537978"/>
    <w:rsid w:val="0054006E"/>
    <w:rsid w:val="005463D4"/>
    <w:rsid w:val="00550CF9"/>
    <w:rsid w:val="0055710E"/>
    <w:rsid w:val="00562494"/>
    <w:rsid w:val="0057763F"/>
    <w:rsid w:val="00580160"/>
    <w:rsid w:val="0058652E"/>
    <w:rsid w:val="00591E44"/>
    <w:rsid w:val="005B3279"/>
    <w:rsid w:val="005D481D"/>
    <w:rsid w:val="005D53D8"/>
    <w:rsid w:val="005E2B68"/>
    <w:rsid w:val="005F0C14"/>
    <w:rsid w:val="005F2B7B"/>
    <w:rsid w:val="005F3122"/>
    <w:rsid w:val="00601BF3"/>
    <w:rsid w:val="00630FC3"/>
    <w:rsid w:val="00637EF5"/>
    <w:rsid w:val="006410C6"/>
    <w:rsid w:val="0064174D"/>
    <w:rsid w:val="0064186F"/>
    <w:rsid w:val="006421E9"/>
    <w:rsid w:val="00643DB8"/>
    <w:rsid w:val="00644957"/>
    <w:rsid w:val="006451A1"/>
    <w:rsid w:val="00646D75"/>
    <w:rsid w:val="00646EFA"/>
    <w:rsid w:val="006544FD"/>
    <w:rsid w:val="00665E4A"/>
    <w:rsid w:val="00672339"/>
    <w:rsid w:val="00672C43"/>
    <w:rsid w:val="00684305"/>
    <w:rsid w:val="00687C2D"/>
    <w:rsid w:val="006B531E"/>
    <w:rsid w:val="006C00F5"/>
    <w:rsid w:val="006C17FA"/>
    <w:rsid w:val="006C19F8"/>
    <w:rsid w:val="006C60F0"/>
    <w:rsid w:val="006D3D2A"/>
    <w:rsid w:val="00711656"/>
    <w:rsid w:val="0072433B"/>
    <w:rsid w:val="007347CF"/>
    <w:rsid w:val="00736261"/>
    <w:rsid w:val="00743B16"/>
    <w:rsid w:val="007518F6"/>
    <w:rsid w:val="00753812"/>
    <w:rsid w:val="00761056"/>
    <w:rsid w:val="0076115B"/>
    <w:rsid w:val="007751CF"/>
    <w:rsid w:val="00786C6F"/>
    <w:rsid w:val="0079000F"/>
    <w:rsid w:val="00791550"/>
    <w:rsid w:val="007A028A"/>
    <w:rsid w:val="007B4FA7"/>
    <w:rsid w:val="007B6BF5"/>
    <w:rsid w:val="007D4DC1"/>
    <w:rsid w:val="007E61C6"/>
    <w:rsid w:val="0080017D"/>
    <w:rsid w:val="00801AB7"/>
    <w:rsid w:val="008026D6"/>
    <w:rsid w:val="00812DC8"/>
    <w:rsid w:val="0082559A"/>
    <w:rsid w:val="008344F9"/>
    <w:rsid w:val="00834C75"/>
    <w:rsid w:val="00842809"/>
    <w:rsid w:val="0084711D"/>
    <w:rsid w:val="00850FE1"/>
    <w:rsid w:val="008556C2"/>
    <w:rsid w:val="00857B42"/>
    <w:rsid w:val="00870C45"/>
    <w:rsid w:val="00872794"/>
    <w:rsid w:val="00881BEB"/>
    <w:rsid w:val="008A1414"/>
    <w:rsid w:val="008C6BBC"/>
    <w:rsid w:val="008D1265"/>
    <w:rsid w:val="00900C88"/>
    <w:rsid w:val="0090452B"/>
    <w:rsid w:val="0091183E"/>
    <w:rsid w:val="00912551"/>
    <w:rsid w:val="00914A2E"/>
    <w:rsid w:val="00926AA2"/>
    <w:rsid w:val="00933449"/>
    <w:rsid w:val="00950803"/>
    <w:rsid w:val="009509E6"/>
    <w:rsid w:val="00950DAC"/>
    <w:rsid w:val="00952050"/>
    <w:rsid w:val="00966B79"/>
    <w:rsid w:val="00985EC2"/>
    <w:rsid w:val="009901B3"/>
    <w:rsid w:val="00995691"/>
    <w:rsid w:val="00995DE0"/>
    <w:rsid w:val="009A1CE4"/>
    <w:rsid w:val="009A6936"/>
    <w:rsid w:val="009A6BDE"/>
    <w:rsid w:val="009A6D12"/>
    <w:rsid w:val="009A7C7B"/>
    <w:rsid w:val="009B3D1F"/>
    <w:rsid w:val="009B3ED1"/>
    <w:rsid w:val="009B44FD"/>
    <w:rsid w:val="009B663F"/>
    <w:rsid w:val="009D1596"/>
    <w:rsid w:val="009D6FDA"/>
    <w:rsid w:val="009E2F15"/>
    <w:rsid w:val="009E3FD2"/>
    <w:rsid w:val="009E6F6F"/>
    <w:rsid w:val="009E735D"/>
    <w:rsid w:val="009F18B8"/>
    <w:rsid w:val="009F2C0D"/>
    <w:rsid w:val="009F450F"/>
    <w:rsid w:val="00A17456"/>
    <w:rsid w:val="00A20D83"/>
    <w:rsid w:val="00A276BE"/>
    <w:rsid w:val="00A3462A"/>
    <w:rsid w:val="00A37687"/>
    <w:rsid w:val="00A54A23"/>
    <w:rsid w:val="00A568C4"/>
    <w:rsid w:val="00A60E53"/>
    <w:rsid w:val="00A6146F"/>
    <w:rsid w:val="00A62B2D"/>
    <w:rsid w:val="00A80E14"/>
    <w:rsid w:val="00A92193"/>
    <w:rsid w:val="00AB629D"/>
    <w:rsid w:val="00AC28D9"/>
    <w:rsid w:val="00AD4CB5"/>
    <w:rsid w:val="00AE1CE2"/>
    <w:rsid w:val="00AF2D66"/>
    <w:rsid w:val="00B03111"/>
    <w:rsid w:val="00B367CC"/>
    <w:rsid w:val="00B4046E"/>
    <w:rsid w:val="00B4287B"/>
    <w:rsid w:val="00B51333"/>
    <w:rsid w:val="00B54748"/>
    <w:rsid w:val="00B54EA2"/>
    <w:rsid w:val="00B60BC0"/>
    <w:rsid w:val="00B642BB"/>
    <w:rsid w:val="00B72AB1"/>
    <w:rsid w:val="00B95BF4"/>
    <w:rsid w:val="00B95DA0"/>
    <w:rsid w:val="00B96B80"/>
    <w:rsid w:val="00BB25DB"/>
    <w:rsid w:val="00BB353D"/>
    <w:rsid w:val="00BB4422"/>
    <w:rsid w:val="00BD6D9E"/>
    <w:rsid w:val="00BD7006"/>
    <w:rsid w:val="00BF6C75"/>
    <w:rsid w:val="00C20CC2"/>
    <w:rsid w:val="00C210B7"/>
    <w:rsid w:val="00C22F8E"/>
    <w:rsid w:val="00C25CAF"/>
    <w:rsid w:val="00C3056A"/>
    <w:rsid w:val="00C3101F"/>
    <w:rsid w:val="00C4222F"/>
    <w:rsid w:val="00C5648C"/>
    <w:rsid w:val="00C61D34"/>
    <w:rsid w:val="00C6342A"/>
    <w:rsid w:val="00C71284"/>
    <w:rsid w:val="00C83433"/>
    <w:rsid w:val="00CA7612"/>
    <w:rsid w:val="00CA7961"/>
    <w:rsid w:val="00CB2878"/>
    <w:rsid w:val="00CB521A"/>
    <w:rsid w:val="00CB67C9"/>
    <w:rsid w:val="00CC0587"/>
    <w:rsid w:val="00CD2087"/>
    <w:rsid w:val="00CD568F"/>
    <w:rsid w:val="00CD6292"/>
    <w:rsid w:val="00CE26D0"/>
    <w:rsid w:val="00CF06EB"/>
    <w:rsid w:val="00CF24B8"/>
    <w:rsid w:val="00CF4BD2"/>
    <w:rsid w:val="00D01A09"/>
    <w:rsid w:val="00D04C8F"/>
    <w:rsid w:val="00D073A9"/>
    <w:rsid w:val="00D1149E"/>
    <w:rsid w:val="00D133D9"/>
    <w:rsid w:val="00D1377F"/>
    <w:rsid w:val="00D1509C"/>
    <w:rsid w:val="00D179DB"/>
    <w:rsid w:val="00D22F25"/>
    <w:rsid w:val="00D311EE"/>
    <w:rsid w:val="00D721E4"/>
    <w:rsid w:val="00D809D7"/>
    <w:rsid w:val="00D82D60"/>
    <w:rsid w:val="00D84AEC"/>
    <w:rsid w:val="00D963FF"/>
    <w:rsid w:val="00D964BB"/>
    <w:rsid w:val="00DA057B"/>
    <w:rsid w:val="00DA4EA3"/>
    <w:rsid w:val="00DA5173"/>
    <w:rsid w:val="00DB1E5F"/>
    <w:rsid w:val="00DB2C75"/>
    <w:rsid w:val="00DB3654"/>
    <w:rsid w:val="00DD2891"/>
    <w:rsid w:val="00DE3AF9"/>
    <w:rsid w:val="00DF2067"/>
    <w:rsid w:val="00DF4A72"/>
    <w:rsid w:val="00DF76D8"/>
    <w:rsid w:val="00E07033"/>
    <w:rsid w:val="00E0785E"/>
    <w:rsid w:val="00E1215C"/>
    <w:rsid w:val="00E21542"/>
    <w:rsid w:val="00E24154"/>
    <w:rsid w:val="00E247A1"/>
    <w:rsid w:val="00E41F4D"/>
    <w:rsid w:val="00E54628"/>
    <w:rsid w:val="00E656C7"/>
    <w:rsid w:val="00E767E3"/>
    <w:rsid w:val="00E77829"/>
    <w:rsid w:val="00E828E2"/>
    <w:rsid w:val="00E9358A"/>
    <w:rsid w:val="00EA0EF4"/>
    <w:rsid w:val="00EA1059"/>
    <w:rsid w:val="00EA3A1A"/>
    <w:rsid w:val="00EA3D3F"/>
    <w:rsid w:val="00EB0F95"/>
    <w:rsid w:val="00EB3416"/>
    <w:rsid w:val="00EB56D0"/>
    <w:rsid w:val="00EC4057"/>
    <w:rsid w:val="00EC658F"/>
    <w:rsid w:val="00EC703F"/>
    <w:rsid w:val="00ED0BA6"/>
    <w:rsid w:val="00EE3A63"/>
    <w:rsid w:val="00EE68BF"/>
    <w:rsid w:val="00EF1025"/>
    <w:rsid w:val="00EF7E49"/>
    <w:rsid w:val="00F133CF"/>
    <w:rsid w:val="00F25587"/>
    <w:rsid w:val="00F25750"/>
    <w:rsid w:val="00F35A2D"/>
    <w:rsid w:val="00F404C6"/>
    <w:rsid w:val="00F42B45"/>
    <w:rsid w:val="00F42D60"/>
    <w:rsid w:val="00F43F5E"/>
    <w:rsid w:val="00F47C9D"/>
    <w:rsid w:val="00F51667"/>
    <w:rsid w:val="00F57E75"/>
    <w:rsid w:val="00F60D6D"/>
    <w:rsid w:val="00F60DD7"/>
    <w:rsid w:val="00F64D90"/>
    <w:rsid w:val="00F77A40"/>
    <w:rsid w:val="00F829E8"/>
    <w:rsid w:val="00FA2DBF"/>
    <w:rsid w:val="00FA3952"/>
    <w:rsid w:val="00FA3A80"/>
    <w:rsid w:val="00FB7D29"/>
    <w:rsid w:val="00FC3156"/>
    <w:rsid w:val="00FC6D29"/>
    <w:rsid w:val="00FD4201"/>
    <w:rsid w:val="00FD4480"/>
    <w:rsid w:val="00FD6B1C"/>
    <w:rsid w:val="00FE5F8E"/>
    <w:rsid w:val="00FE6B0A"/>
    <w:rsid w:val="00FE7A22"/>
    <w:rsid w:val="00FF37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69C6E0"/>
  <w15:docId w15:val="{FB9964C3-7B62-4072-B430-97568542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link w:val="TextodegloboCar"/>
    <w:rsid w:val="00FE5F8E"/>
    <w:rPr>
      <w:rFonts w:ascii="Tahoma" w:hAnsi="Tahoma" w:cs="Tahoma"/>
      <w:sz w:val="16"/>
      <w:szCs w:val="16"/>
    </w:rPr>
  </w:style>
  <w:style w:type="character" w:customStyle="1" w:styleId="TextodegloboCar">
    <w:name w:val="Texto de globo Car"/>
    <w:basedOn w:val="Fuentedeprrafopredeter"/>
    <w:link w:val="Textodeglobo"/>
    <w:rsid w:val="00FE5F8E"/>
    <w:rPr>
      <w:rFonts w:ascii="Tahoma" w:hAnsi="Tahoma" w:cs="Tahoma"/>
      <w:sz w:val="16"/>
      <w:szCs w:val="16"/>
    </w:rPr>
  </w:style>
  <w:style w:type="paragraph" w:styleId="Prrafodelista">
    <w:name w:val="List Paragraph"/>
    <w:basedOn w:val="Normal"/>
    <w:uiPriority w:val="34"/>
    <w:qFormat/>
    <w:rsid w:val="00FE5F8E"/>
    <w:pPr>
      <w:ind w:left="720"/>
      <w:contextualSpacing/>
    </w:pPr>
  </w:style>
  <w:style w:type="table" w:styleId="Tablaconcuadrcula">
    <w:name w:val="Table Grid"/>
    <w:basedOn w:val="Tablanormal"/>
    <w:rsid w:val="003D1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761056"/>
    <w:rPr>
      <w:sz w:val="24"/>
      <w:szCs w:val="24"/>
    </w:rPr>
  </w:style>
  <w:style w:type="character" w:styleId="Hipervnculo">
    <w:name w:val="Hyperlink"/>
    <w:basedOn w:val="Fuentedeprrafopredeter"/>
    <w:rsid w:val="007610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039160">
      <w:bodyDiv w:val="1"/>
      <w:marLeft w:val="0"/>
      <w:marRight w:val="0"/>
      <w:marTop w:val="0"/>
      <w:marBottom w:val="0"/>
      <w:divBdr>
        <w:top w:val="none" w:sz="0" w:space="0" w:color="auto"/>
        <w:left w:val="none" w:sz="0" w:space="0" w:color="auto"/>
        <w:bottom w:val="none" w:sz="0" w:space="0" w:color="auto"/>
        <w:right w:val="none" w:sz="0" w:space="0" w:color="auto"/>
      </w:divBdr>
    </w:div>
    <w:div w:id="1077436164">
      <w:bodyDiv w:val="1"/>
      <w:marLeft w:val="0"/>
      <w:marRight w:val="0"/>
      <w:marTop w:val="0"/>
      <w:marBottom w:val="0"/>
      <w:divBdr>
        <w:top w:val="none" w:sz="0" w:space="0" w:color="auto"/>
        <w:left w:val="none" w:sz="0" w:space="0" w:color="auto"/>
        <w:bottom w:val="none" w:sz="0" w:space="0" w:color="auto"/>
        <w:right w:val="none" w:sz="0" w:space="0" w:color="auto"/>
      </w:divBdr>
    </w:div>
    <w:div w:id="1263799234">
      <w:bodyDiv w:val="1"/>
      <w:marLeft w:val="0"/>
      <w:marRight w:val="0"/>
      <w:marTop w:val="0"/>
      <w:marBottom w:val="0"/>
      <w:divBdr>
        <w:top w:val="none" w:sz="0" w:space="0" w:color="auto"/>
        <w:left w:val="none" w:sz="0" w:space="0" w:color="auto"/>
        <w:bottom w:val="none" w:sz="0" w:space="0" w:color="auto"/>
        <w:right w:val="none" w:sz="0" w:space="0" w:color="auto"/>
      </w:divBdr>
    </w:div>
    <w:div w:id="1551722226">
      <w:bodyDiv w:val="1"/>
      <w:marLeft w:val="0"/>
      <w:marRight w:val="0"/>
      <w:marTop w:val="0"/>
      <w:marBottom w:val="0"/>
      <w:divBdr>
        <w:top w:val="none" w:sz="0" w:space="0" w:color="auto"/>
        <w:left w:val="none" w:sz="0" w:space="0" w:color="auto"/>
        <w:bottom w:val="none" w:sz="0" w:space="0" w:color="auto"/>
        <w:right w:val="none" w:sz="0" w:space="0" w:color="auto"/>
      </w:divBdr>
    </w:div>
    <w:div w:id="159412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g"/><Relationship Id="rId7" Type="http://schemas.openxmlformats.org/officeDocument/2006/relationships/hyperlink" Target="http://www.poderjudicial.es"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oleObject" Target="embeddings/oleObject1.bin"/><Relationship Id="rId4" Type="http://schemas.openxmlformats.org/officeDocument/2006/relationships/image" Target="media/image6.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2</Pages>
  <Words>720</Words>
  <Characters>3966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El CGPJ informa</vt:lpstr>
    </vt:vector>
  </TitlesOfParts>
  <Company>CENDOJ</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CGPJ informa</dc:title>
  <dc:creator>azurita</dc:creator>
  <cp:lastModifiedBy>Susana Nieves Colli</cp:lastModifiedBy>
  <cp:revision>120</cp:revision>
  <cp:lastPrinted>2017-11-30T13:23:00Z</cp:lastPrinted>
  <dcterms:created xsi:type="dcterms:W3CDTF">2015-05-26T08:14:00Z</dcterms:created>
  <dcterms:modified xsi:type="dcterms:W3CDTF">2025-10-17T13:10:00Z</dcterms:modified>
</cp:coreProperties>
</file>