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73"/>
      </w:tblGrid>
      <w:tr w:rsidR="000A1782" w:rsidRPr="001B1AD3" w:rsidTr="00016812">
        <w:trPr>
          <w:trHeight w:hRule="exact" w:val="3009"/>
          <w:jc w:val="center"/>
        </w:trPr>
        <w:tc>
          <w:tcPr>
            <w:tcW w:w="10773" w:type="dxa"/>
            <w:vAlign w:val="center"/>
          </w:tcPr>
          <w:p w:rsidR="000A1782" w:rsidRPr="001B1AD3" w:rsidRDefault="000A1782" w:rsidP="00A92200">
            <w:pPr>
              <w:widowControl w:val="0"/>
              <w:autoSpaceDE w:val="0"/>
              <w:autoSpaceDN w:val="0"/>
              <w:adjustRightInd w:val="0"/>
              <w:jc w:val="both"/>
              <w:rPr>
                <w:rFonts w:ascii="Arial" w:hAnsi="Arial" w:cs="Arial"/>
                <w:b/>
              </w:rPr>
            </w:pPr>
            <w:bookmarkStart w:id="0" w:name="_GoBack"/>
            <w:bookmarkEnd w:id="0"/>
            <w:r w:rsidRPr="000A1782">
              <w:rPr>
                <w:rFonts w:ascii="Verdana" w:hAnsi="Verdana"/>
                <w:b/>
                <w:bCs/>
                <w:lang w:val="x-none" w:eastAsia="x-none"/>
              </w:rPr>
              <w:t>PROYECTO DE ORDEN***************</w:t>
            </w:r>
            <w:r w:rsidRPr="000A1782">
              <w:rPr>
                <w:rFonts w:ascii="Verdana" w:hAnsi="Verdana"/>
                <w:b/>
                <w:bCs/>
                <w:lang w:eastAsia="x-none"/>
              </w:rPr>
              <w:t>DEL MINISTERIO DE JUSTICIA</w:t>
            </w:r>
            <w:r w:rsidRPr="000A1782">
              <w:rPr>
                <w:rFonts w:ascii="Verdana" w:hAnsi="Verdana"/>
                <w:b/>
                <w:bCs/>
                <w:lang w:val="x-none" w:eastAsia="x-none"/>
              </w:rPr>
              <w:t xml:space="preserve"> POR LA QUE SE DETERMINA LA ESTRUCTURA </w:t>
            </w:r>
            <w:r w:rsidRPr="000A1782">
              <w:rPr>
                <w:rFonts w:ascii="Verdana" w:hAnsi="Verdana"/>
                <w:b/>
                <w:bCs/>
                <w:u w:val="single"/>
                <w:lang w:val="x-none" w:eastAsia="x-none"/>
              </w:rPr>
              <w:t>D</w:t>
            </w:r>
            <w:r w:rsidRPr="000A1782">
              <w:rPr>
                <w:rFonts w:ascii="Verdana" w:hAnsi="Verdana"/>
                <w:b/>
                <w:bCs/>
                <w:lang w:val="x-none" w:eastAsia="x-none"/>
              </w:rPr>
              <w:t xml:space="preserve">E LAS OFICINAS JUDICIALES </w:t>
            </w:r>
            <w:r w:rsidRPr="000A1782">
              <w:rPr>
                <w:rFonts w:ascii="Verdana" w:hAnsi="Verdana"/>
                <w:b/>
                <w:bCs/>
                <w:lang w:eastAsia="x-none"/>
              </w:rPr>
              <w:t>DE</w:t>
            </w:r>
            <w:r w:rsidRPr="000A1782">
              <w:rPr>
                <w:rFonts w:ascii="Verdana" w:hAnsi="Verdana"/>
                <w:b/>
                <w:bCs/>
                <w:lang w:val="x-none" w:eastAsia="x-none"/>
              </w:rPr>
              <w:t xml:space="preserve"> SU PROPIO AMBITO TERRITORIAL</w:t>
            </w:r>
            <w:r w:rsidR="00A92200">
              <w:rPr>
                <w:rFonts w:ascii="Verdana" w:hAnsi="Verdana"/>
                <w:b/>
                <w:bCs/>
                <w:lang w:eastAsia="x-none"/>
              </w:rPr>
              <w:t>.</w:t>
            </w:r>
            <w:r w:rsidRPr="000A1782">
              <w:rPr>
                <w:rFonts w:ascii="Verdana" w:hAnsi="Verdana"/>
                <w:b/>
                <w:bCs/>
                <w:lang w:val="x-none" w:eastAsia="x-none"/>
              </w:rPr>
              <w:t xml:space="preserve"> </w:t>
            </w:r>
          </w:p>
        </w:tc>
      </w:tr>
    </w:tbl>
    <w:p w:rsidR="000A1782" w:rsidRPr="001B1AD3" w:rsidRDefault="000A1782" w:rsidP="000A1782">
      <w:pPr>
        <w:pStyle w:val="Ttulo1"/>
        <w:spacing w:line="360" w:lineRule="auto"/>
        <w:rPr>
          <w:rFonts w:ascii="Arial" w:hAnsi="Arial" w:cs="Arial"/>
          <w:sz w:val="24"/>
        </w:rPr>
      </w:pPr>
    </w:p>
    <w:p w:rsidR="000A1782" w:rsidRPr="001B1AD3" w:rsidRDefault="000A1782" w:rsidP="000A1782">
      <w:pPr>
        <w:spacing w:line="360" w:lineRule="auto"/>
        <w:rPr>
          <w:rFonts w:ascii="Arial" w:hAnsi="Arial" w:cs="Arial"/>
        </w:rPr>
      </w:pPr>
    </w:p>
    <w:p w:rsidR="0045324F" w:rsidRPr="0019669B" w:rsidRDefault="000A1782" w:rsidP="0045324F">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rPr>
      </w:pPr>
      <w:r w:rsidRPr="000A1782">
        <w:rPr>
          <w:rFonts w:ascii="Verdana" w:eastAsia="Arial Unicode MS" w:hAnsi="Verdana" w:cs="Arial"/>
        </w:rPr>
        <w:t xml:space="preserve">La Ley Orgánica 19/2003, de 23 de diciembre, de modificación de la Ley Orgánica 6/1985, de 1 de julio, del Poder Judicial introdujo en el Libro V la regulación de la oficina judicial que </w:t>
      </w:r>
      <w:r w:rsidRPr="0019669B">
        <w:rPr>
          <w:rFonts w:ascii="Verdana" w:eastAsia="Arial Unicode MS" w:hAnsi="Verdana" w:cs="Arial"/>
        </w:rPr>
        <w:t>supuso</w:t>
      </w:r>
      <w:r w:rsidR="0019669B">
        <w:rPr>
          <w:rFonts w:ascii="Verdana" w:eastAsia="Arial Unicode MS" w:hAnsi="Verdana" w:cs="Arial"/>
        </w:rPr>
        <w:t xml:space="preserve"> </w:t>
      </w:r>
      <w:r w:rsidRPr="000A1782">
        <w:rPr>
          <w:rFonts w:ascii="Verdana" w:eastAsia="Arial Unicode MS" w:hAnsi="Verdana" w:cs="Arial"/>
        </w:rPr>
        <w:t>un profundo cambio en la organización de la Administración de Justicia,  nacida con el propósito claro de obtener una mayor racionalización del trabajo y un mejor aprovechamiento de los recursos humanos y medios materiales disponibles, para con ello, prestar un mejor servicio al ciudadano, garantizando con su funcionamiento la independencia del poder al que sirve.</w:t>
      </w:r>
      <w:r w:rsidR="0045324F">
        <w:rPr>
          <w:rFonts w:ascii="Verdana" w:eastAsia="Arial Unicode MS" w:hAnsi="Verdana" w:cs="Arial"/>
        </w:rPr>
        <w:t xml:space="preserve"> </w:t>
      </w:r>
      <w:r w:rsidR="005E0212" w:rsidRPr="0019669B">
        <w:rPr>
          <w:rFonts w:ascii="Verdana" w:eastAsia="Arial Unicode MS" w:hAnsi="Verdana" w:cs="Arial"/>
        </w:rPr>
        <w:t>En definitiva u</w:t>
      </w:r>
      <w:r w:rsidR="0045324F" w:rsidRPr="0019669B">
        <w:rPr>
          <w:rFonts w:ascii="Verdana" w:eastAsia="Arial Unicode MS" w:hAnsi="Verdana" w:cs="Arial"/>
        </w:rPr>
        <w:t>n nuevo modelo de gestión del servicio público de la Justicia, en el que la unidad singular y autosuficiente deja paso a la gestión conjunta de trámites procesales.</w:t>
      </w:r>
    </w:p>
    <w:p w:rsidR="000A1782" w:rsidRDefault="000A1782" w:rsidP="0045324F">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bCs/>
        </w:rPr>
      </w:pPr>
      <w:r w:rsidRPr="000A1782">
        <w:rPr>
          <w:rFonts w:ascii="Verdana" w:eastAsia="Arial Unicode MS" w:hAnsi="Verdana" w:cs="Arial"/>
          <w:bCs/>
        </w:rPr>
        <w:t>A lo largo de estos años, el Ministerio d</w:t>
      </w:r>
      <w:r w:rsidR="008B4D3A">
        <w:rPr>
          <w:rFonts w:ascii="Verdana" w:eastAsia="Arial Unicode MS" w:hAnsi="Verdana" w:cs="Arial"/>
          <w:bCs/>
        </w:rPr>
        <w:t xml:space="preserve">e Justicia ha estado afrontado </w:t>
      </w:r>
      <w:r w:rsidRPr="000A1782">
        <w:rPr>
          <w:rFonts w:ascii="Verdana" w:eastAsia="Arial Unicode MS" w:hAnsi="Verdana" w:cs="Arial"/>
          <w:bCs/>
        </w:rPr>
        <w:t>diferentes proyectos encaminados a implantar oficinas judiciales en determinadas sedes a partir de un</w:t>
      </w:r>
      <w:r w:rsidR="0045324F">
        <w:rPr>
          <w:rFonts w:ascii="Verdana" w:eastAsia="Arial Unicode MS" w:hAnsi="Verdana" w:cs="Arial"/>
          <w:bCs/>
        </w:rPr>
        <w:t xml:space="preserve"> Plan que dividió en dos fases. U</w:t>
      </w:r>
      <w:r w:rsidRPr="000A1782">
        <w:rPr>
          <w:rFonts w:ascii="Verdana" w:eastAsia="Arial Unicode MS" w:hAnsi="Verdana" w:cs="Arial"/>
          <w:bCs/>
        </w:rPr>
        <w:t xml:space="preserve">na primera que vino determinada por la Orden </w:t>
      </w:r>
      <w:r w:rsidR="005E0212">
        <w:rPr>
          <w:rFonts w:ascii="Verdana" w:eastAsia="Arial Unicode MS" w:hAnsi="Verdana" w:cs="Arial"/>
          <w:bCs/>
        </w:rPr>
        <w:t>JUS/</w:t>
      </w:r>
      <w:r w:rsidRPr="000A1782">
        <w:rPr>
          <w:rFonts w:ascii="Verdana" w:eastAsia="Arial Unicode MS" w:hAnsi="Verdana" w:cs="Arial"/>
          <w:bCs/>
        </w:rPr>
        <w:t xml:space="preserve">1741/2010 </w:t>
      </w:r>
      <w:r w:rsidR="005E0212">
        <w:rPr>
          <w:rFonts w:ascii="Verdana" w:eastAsia="Arial Unicode MS" w:hAnsi="Verdana" w:cs="Arial"/>
          <w:bCs/>
        </w:rPr>
        <w:t xml:space="preserve">de 22 de </w:t>
      </w:r>
      <w:r w:rsidR="00BB6D51">
        <w:rPr>
          <w:rFonts w:ascii="Verdana" w:eastAsia="Arial Unicode MS" w:hAnsi="Verdana" w:cs="Arial"/>
          <w:bCs/>
        </w:rPr>
        <w:t>junio,</w:t>
      </w:r>
      <w:r w:rsidR="005E0212">
        <w:rPr>
          <w:rFonts w:ascii="Verdana" w:eastAsia="Arial Unicode MS" w:hAnsi="Verdana" w:cs="Arial"/>
          <w:bCs/>
        </w:rPr>
        <w:t xml:space="preserve"> </w:t>
      </w:r>
      <w:r w:rsidR="0019669B">
        <w:rPr>
          <w:rFonts w:ascii="Verdana" w:eastAsia="Arial Unicode MS" w:hAnsi="Verdana" w:cs="Arial"/>
          <w:bCs/>
        </w:rPr>
        <w:t>que</w:t>
      </w:r>
      <w:r w:rsidR="00100BB2">
        <w:rPr>
          <w:rFonts w:ascii="Verdana" w:eastAsia="Arial Unicode MS" w:hAnsi="Verdana" w:cs="Arial"/>
          <w:bCs/>
        </w:rPr>
        <w:t xml:space="preserve"> </w:t>
      </w:r>
      <w:r w:rsidR="00100BB2" w:rsidRPr="0019669B">
        <w:rPr>
          <w:rFonts w:ascii="Verdana" w:eastAsia="Arial Unicode MS" w:hAnsi="Verdana" w:cs="Arial"/>
          <w:bCs/>
        </w:rPr>
        <w:t>estableció</w:t>
      </w:r>
      <w:r w:rsidRPr="00100BB2">
        <w:rPr>
          <w:rFonts w:ascii="Verdana" w:eastAsia="Arial Unicode MS" w:hAnsi="Verdana" w:cs="Arial"/>
          <w:bCs/>
          <w:color w:val="FF0000"/>
        </w:rPr>
        <w:t xml:space="preserve"> </w:t>
      </w:r>
      <w:r w:rsidRPr="000A1782">
        <w:rPr>
          <w:rFonts w:ascii="Verdana" w:eastAsia="Arial Unicode MS" w:hAnsi="Verdana" w:cs="Arial"/>
          <w:bCs/>
        </w:rPr>
        <w:t xml:space="preserve">la estructura de la Nueva Oficina Judicial con una delimitación por Cuerpos de las funciones que desarrollaban las unidades procesales de apoyo directo y los servicios comunes procesales y </w:t>
      </w:r>
      <w:r w:rsidR="005E0212" w:rsidRPr="0019669B">
        <w:rPr>
          <w:rFonts w:ascii="Verdana" w:eastAsia="Arial Unicode MS" w:hAnsi="Verdana" w:cs="Arial"/>
          <w:bCs/>
        </w:rPr>
        <w:t xml:space="preserve">que </w:t>
      </w:r>
      <w:r w:rsidRPr="0019669B">
        <w:rPr>
          <w:rFonts w:ascii="Verdana" w:eastAsia="Arial Unicode MS" w:hAnsi="Verdana" w:cs="Arial"/>
          <w:bCs/>
        </w:rPr>
        <w:t xml:space="preserve">a su vez </w:t>
      </w:r>
      <w:r w:rsidR="00100BB2" w:rsidRPr="0019669B">
        <w:rPr>
          <w:rFonts w:ascii="Verdana" w:eastAsia="Arial Unicode MS" w:hAnsi="Verdana" w:cs="Arial"/>
          <w:bCs/>
        </w:rPr>
        <w:t>aprobó</w:t>
      </w:r>
      <w:r w:rsidRPr="0019669B">
        <w:rPr>
          <w:rFonts w:ascii="Verdana" w:eastAsia="Arial Unicode MS" w:hAnsi="Verdana" w:cs="Arial"/>
          <w:bCs/>
        </w:rPr>
        <w:t xml:space="preserve"> </w:t>
      </w:r>
      <w:r w:rsidRPr="000A1782">
        <w:rPr>
          <w:rFonts w:ascii="Verdana" w:eastAsia="Arial Unicode MS" w:hAnsi="Verdana" w:cs="Arial"/>
          <w:bCs/>
        </w:rPr>
        <w:t>la rel</w:t>
      </w:r>
      <w:r w:rsidR="008B4D3A">
        <w:rPr>
          <w:rFonts w:ascii="Verdana" w:eastAsia="Arial Unicode MS" w:hAnsi="Verdana" w:cs="Arial"/>
          <w:bCs/>
        </w:rPr>
        <w:t xml:space="preserve">ación de puestos de trabajo </w:t>
      </w:r>
      <w:r w:rsidRPr="000A1782">
        <w:rPr>
          <w:rFonts w:ascii="Verdana" w:eastAsia="Arial Unicode MS" w:hAnsi="Verdana" w:cs="Arial"/>
          <w:bCs/>
        </w:rPr>
        <w:t>de los partidos judiciales de Burgos, Cáceres, Ciudad Real, Logroño, Murcia, Palma de Mallorca, Ceuta y Melilla</w:t>
      </w:r>
      <w:r>
        <w:rPr>
          <w:rFonts w:ascii="Verdana" w:eastAsia="Arial Unicode MS" w:hAnsi="Verdana" w:cs="Arial"/>
          <w:bCs/>
        </w:rPr>
        <w:t>.</w:t>
      </w:r>
    </w:p>
    <w:p w:rsidR="000A1782" w:rsidRDefault="000A1782" w:rsidP="000A1782">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bCs/>
        </w:rPr>
      </w:pPr>
      <w:r w:rsidRPr="000A1782">
        <w:rPr>
          <w:rFonts w:ascii="Verdana" w:eastAsia="Arial Unicode MS" w:hAnsi="Verdana" w:cs="Arial"/>
          <w:bCs/>
        </w:rPr>
        <w:t xml:space="preserve">De todas estas sedes judiciales, </w:t>
      </w:r>
      <w:r>
        <w:rPr>
          <w:rFonts w:ascii="Verdana" w:eastAsia="Arial Unicode MS" w:hAnsi="Verdana" w:cs="Arial"/>
          <w:bCs/>
        </w:rPr>
        <w:t xml:space="preserve">Logroño no se implantó al asumir posteriormente </w:t>
      </w:r>
      <w:r w:rsidRPr="000A1782">
        <w:rPr>
          <w:rFonts w:ascii="Verdana" w:eastAsia="Arial Unicode MS" w:hAnsi="Verdana" w:cs="Arial"/>
          <w:bCs/>
        </w:rPr>
        <w:t>la Comunidad Autónoma de la Rioja las competencias en materia de provisión de medios personales, materiales y económicos para el funcionamiento de la Administración de Justicia en su ámbito territorial, correspondiéndole por tanto la competencia en esta materia</w:t>
      </w:r>
      <w:r>
        <w:rPr>
          <w:rFonts w:ascii="Verdana" w:eastAsia="Arial Unicode MS" w:hAnsi="Verdana" w:cs="Arial"/>
          <w:bCs/>
        </w:rPr>
        <w:t>. Por su parte la implantación de la oficina judicial en Palma de Mallorca se encuentra en estudio.</w:t>
      </w:r>
    </w:p>
    <w:p w:rsidR="000A1782" w:rsidRDefault="000A1782" w:rsidP="000A1782">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Arial" w:eastAsia="Arial Unicode MS" w:hAnsi="Arial" w:cs="Arial"/>
          <w:bCs/>
          <w:color w:val="000080"/>
        </w:rPr>
      </w:pPr>
      <w:r>
        <w:rPr>
          <w:rFonts w:ascii="Verdana" w:eastAsia="Arial Unicode MS" w:hAnsi="Verdana" w:cs="Arial"/>
          <w:bCs/>
        </w:rPr>
        <w:t>La</w:t>
      </w:r>
      <w:r w:rsidRPr="000A1782">
        <w:rPr>
          <w:rFonts w:ascii="Verdana" w:eastAsia="Arial Unicode MS" w:hAnsi="Verdana" w:cs="Arial"/>
          <w:bCs/>
        </w:rPr>
        <w:t xml:space="preserve"> segunda fase </w:t>
      </w:r>
      <w:r>
        <w:rPr>
          <w:rFonts w:ascii="Verdana" w:eastAsia="Arial Unicode MS" w:hAnsi="Verdana" w:cs="Arial"/>
          <w:bCs/>
        </w:rPr>
        <w:t>vino</w:t>
      </w:r>
      <w:r w:rsidRPr="000A1782">
        <w:rPr>
          <w:rFonts w:ascii="Verdana" w:eastAsia="Arial Unicode MS" w:hAnsi="Verdana" w:cs="Arial"/>
          <w:bCs/>
        </w:rPr>
        <w:t xml:space="preserve"> dada por la Orden </w:t>
      </w:r>
      <w:r w:rsidR="005E0212">
        <w:rPr>
          <w:rFonts w:ascii="Verdana" w:eastAsia="Arial Unicode MS" w:hAnsi="Verdana" w:cs="Arial"/>
          <w:bCs/>
        </w:rPr>
        <w:t>JUS/</w:t>
      </w:r>
      <w:r w:rsidR="00C27659">
        <w:rPr>
          <w:rFonts w:ascii="Verdana" w:eastAsia="Arial Unicode MS" w:hAnsi="Verdana" w:cs="Arial"/>
          <w:bCs/>
        </w:rPr>
        <w:t xml:space="preserve">3388/2010 </w:t>
      </w:r>
      <w:r w:rsidRPr="0019669B">
        <w:rPr>
          <w:rFonts w:ascii="Verdana" w:eastAsia="Arial Unicode MS" w:hAnsi="Verdana" w:cs="Arial"/>
          <w:bCs/>
        </w:rPr>
        <w:t xml:space="preserve">que </w:t>
      </w:r>
      <w:r w:rsidR="00100BB2" w:rsidRPr="0019669B">
        <w:rPr>
          <w:rFonts w:ascii="Verdana" w:eastAsia="Arial Unicode MS" w:hAnsi="Verdana" w:cs="Arial"/>
          <w:bCs/>
        </w:rPr>
        <w:t>estableció</w:t>
      </w:r>
      <w:r w:rsidRPr="0019669B">
        <w:rPr>
          <w:rFonts w:ascii="Verdana" w:eastAsia="Arial Unicode MS" w:hAnsi="Verdana" w:cs="Arial"/>
          <w:bCs/>
        </w:rPr>
        <w:t xml:space="preserve"> la estructura y </w:t>
      </w:r>
      <w:r w:rsidR="00100BB2" w:rsidRPr="0019669B">
        <w:rPr>
          <w:rFonts w:ascii="Verdana" w:eastAsia="Arial Unicode MS" w:hAnsi="Verdana" w:cs="Arial"/>
          <w:bCs/>
        </w:rPr>
        <w:t>aprobó</w:t>
      </w:r>
      <w:r w:rsidRPr="0019669B">
        <w:rPr>
          <w:rFonts w:ascii="Verdana" w:eastAsia="Arial Unicode MS" w:hAnsi="Verdana" w:cs="Arial"/>
          <w:bCs/>
        </w:rPr>
        <w:t xml:space="preserve"> la relación de puestos de trabajo de las oficinas </w:t>
      </w:r>
      <w:r w:rsidRPr="000A1782">
        <w:rPr>
          <w:rFonts w:ascii="Verdana" w:eastAsia="Arial Unicode MS" w:hAnsi="Verdana" w:cs="Arial"/>
          <w:bCs/>
        </w:rPr>
        <w:t xml:space="preserve">judiciales y </w:t>
      </w:r>
      <w:r w:rsidRPr="000A1782">
        <w:rPr>
          <w:rFonts w:ascii="Verdana" w:eastAsia="Arial Unicode MS" w:hAnsi="Verdana" w:cs="Arial"/>
          <w:bCs/>
        </w:rPr>
        <w:lastRenderedPageBreak/>
        <w:t>de las Secretarías de Gobierno de los partidos judiciales de  León, Cuenca y Mérida</w:t>
      </w:r>
      <w:r>
        <w:rPr>
          <w:rFonts w:ascii="Arial" w:eastAsia="Arial Unicode MS" w:hAnsi="Arial" w:cs="Arial"/>
          <w:bCs/>
          <w:color w:val="000080"/>
        </w:rPr>
        <w:t>.</w:t>
      </w:r>
    </w:p>
    <w:p w:rsidR="000A1782" w:rsidRPr="0019669B" w:rsidRDefault="006B0456" w:rsidP="000A1782">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hAnsi="Verdana"/>
        </w:rPr>
      </w:pPr>
      <w:r w:rsidRPr="0019669B">
        <w:rPr>
          <w:rFonts w:ascii="Verdana" w:eastAsia="Arial Unicode MS" w:hAnsi="Verdana" w:cs="Arial"/>
          <w:bCs/>
        </w:rPr>
        <w:t>P</w:t>
      </w:r>
      <w:r w:rsidR="000A1782" w:rsidRPr="000A1782">
        <w:rPr>
          <w:rFonts w:ascii="Verdana" w:eastAsia="Arial Unicode MS" w:hAnsi="Verdana" w:cs="Arial"/>
          <w:bCs/>
        </w:rPr>
        <w:t xml:space="preserve">or último, la </w:t>
      </w:r>
      <w:r w:rsidR="000A1782" w:rsidRPr="000A1782">
        <w:rPr>
          <w:rFonts w:ascii="Verdana" w:eastAsia="Arial Unicode MS" w:hAnsi="Verdana"/>
          <w:bCs/>
        </w:rPr>
        <w:t>Orden JUS/2352/2014, de 23 de octubre, determinó la estructura y la aprobación de las relaciones de puestos de trabajo de la oficina judicial de Ponferrada</w:t>
      </w:r>
      <w:r w:rsidR="000A1782">
        <w:rPr>
          <w:rFonts w:ascii="Verdana" w:hAnsi="Verdana"/>
          <w:iCs/>
        </w:rPr>
        <w:t xml:space="preserve">, que es la última implantada en el territorio </w:t>
      </w:r>
      <w:r w:rsidR="005E0212" w:rsidRPr="0019669B">
        <w:rPr>
          <w:rFonts w:ascii="Verdana" w:hAnsi="Verdana"/>
          <w:iCs/>
        </w:rPr>
        <w:t xml:space="preserve">competencia del </w:t>
      </w:r>
      <w:r w:rsidR="000A1782" w:rsidRPr="0019669B">
        <w:rPr>
          <w:rFonts w:ascii="Verdana" w:hAnsi="Verdana"/>
          <w:iCs/>
        </w:rPr>
        <w:t>Ministerio de Justicia.</w:t>
      </w:r>
    </w:p>
    <w:p w:rsidR="000A1782" w:rsidRPr="00D96C45" w:rsidRDefault="000A1782" w:rsidP="000A1782">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Arial" w:eastAsia="Arial Unicode MS" w:hAnsi="Arial" w:cs="Arial"/>
          <w:bCs/>
          <w:color w:val="000080"/>
        </w:rPr>
      </w:pPr>
      <w:r>
        <w:t xml:space="preserve"> </w:t>
      </w:r>
      <w:r>
        <w:rPr>
          <w:i/>
          <w:iCs/>
          <w:sz w:val="20"/>
          <w:szCs w:val="20"/>
        </w:rPr>
        <w:t xml:space="preserve"> </w:t>
      </w:r>
      <w:r w:rsidRPr="000A1782">
        <w:rPr>
          <w:rFonts w:ascii="Verdana" w:eastAsia="Arial Unicode MS" w:hAnsi="Verdana" w:cs="Arial"/>
          <w:bCs/>
        </w:rPr>
        <w:t xml:space="preserve">Quedan por consiguiente ciento dos partidos judiciales cuyo ámbito territorial en materia de Justicia corresponde al Ministerio de Justicia </w:t>
      </w:r>
      <w:r w:rsidR="0019669B" w:rsidRPr="0019669B">
        <w:rPr>
          <w:rFonts w:ascii="Verdana" w:eastAsia="Arial Unicode MS" w:hAnsi="Verdana" w:cs="Arial"/>
          <w:bCs/>
        </w:rPr>
        <w:t>y</w:t>
      </w:r>
      <w:r w:rsidR="00100BB2" w:rsidRPr="0019669B">
        <w:rPr>
          <w:rFonts w:ascii="Verdana" w:eastAsia="Arial Unicode MS" w:hAnsi="Verdana" w:cs="Arial"/>
          <w:bCs/>
        </w:rPr>
        <w:t xml:space="preserve"> en los que se encuentra</w:t>
      </w:r>
      <w:r w:rsidRPr="0019669B">
        <w:rPr>
          <w:rFonts w:ascii="Verdana" w:eastAsia="Arial Unicode MS" w:hAnsi="Verdana" w:cs="Arial"/>
          <w:bCs/>
        </w:rPr>
        <w:t xml:space="preserve"> pendiente de desarrollar el nuevo modelo organizat</w:t>
      </w:r>
      <w:r w:rsidRPr="000A1782">
        <w:rPr>
          <w:rFonts w:ascii="Verdana" w:eastAsia="Arial Unicode MS" w:hAnsi="Verdana" w:cs="Arial"/>
          <w:bCs/>
        </w:rPr>
        <w:t>ivo. Por ello se hace preciso afrontar de una manera íntegra y general la implantación de la oficina judicial en el resto de estos partidos judiciales, para culminar  de una forma definitiva el proyecto  que se inició hace más de diez años para la consecución de una Administración de Justicia más moderna y ágil</w:t>
      </w:r>
      <w:r w:rsidRPr="00D96C45">
        <w:rPr>
          <w:rFonts w:ascii="Arial" w:eastAsia="Arial Unicode MS" w:hAnsi="Arial" w:cs="Arial"/>
          <w:bCs/>
          <w:color w:val="000080"/>
        </w:rPr>
        <w:t xml:space="preserve">.  </w:t>
      </w:r>
    </w:p>
    <w:p w:rsidR="000A1782" w:rsidRDefault="000A1782" w:rsidP="000A1782">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Arial" w:eastAsia="Arial Unicode MS" w:hAnsi="Arial" w:cs="Arial"/>
          <w:snapToGrid w:val="0"/>
          <w:color w:val="000080"/>
        </w:rPr>
      </w:pPr>
      <w:r w:rsidRPr="00EE5F7E">
        <w:rPr>
          <w:rFonts w:ascii="Verdana" w:eastAsia="Arial Unicode MS" w:hAnsi="Verdana" w:cs="Arial"/>
        </w:rPr>
        <w:t xml:space="preserve">Dado que la oficina judicial es por su propia naturaleza una estructura flexible como indica el artículo 436.3 de la </w:t>
      </w:r>
      <w:r w:rsidRPr="00EE5F7E">
        <w:rPr>
          <w:rFonts w:ascii="Verdana" w:eastAsia="Arial Unicode MS" w:hAnsi="Verdana" w:cs="Arial"/>
          <w:snapToGrid w:val="0"/>
        </w:rPr>
        <w:t>Ley Orgánica 6/1985, de 1 de julio, ésta debe adaptarse y aprovechar las características de cada sede. Por ello, y para establecer la estructura de la oficina judicial en cada una de las</w:t>
      </w:r>
      <w:r w:rsidR="00EE5F7E">
        <w:rPr>
          <w:rFonts w:ascii="Verdana" w:eastAsia="Arial Unicode MS" w:hAnsi="Verdana" w:cs="Arial"/>
          <w:snapToGrid w:val="0"/>
        </w:rPr>
        <w:t xml:space="preserve"> sedes que quedan por implantar</w:t>
      </w:r>
      <w:r w:rsidRPr="00EE5F7E">
        <w:rPr>
          <w:rFonts w:ascii="Verdana" w:eastAsia="Arial Unicode MS" w:hAnsi="Verdana" w:cs="Arial"/>
          <w:snapToGrid w:val="0"/>
        </w:rPr>
        <w:t>, la presente Orden ha distinguido cuatro grandes modelos atendiendo a las necesidades y recursos disponibles en cada partido judicial</w:t>
      </w:r>
      <w:r>
        <w:rPr>
          <w:rFonts w:ascii="Arial" w:eastAsia="Arial Unicode MS" w:hAnsi="Arial" w:cs="Arial"/>
          <w:snapToGrid w:val="0"/>
          <w:color w:val="000080"/>
        </w:rPr>
        <w:t>.</w:t>
      </w:r>
    </w:p>
    <w:p w:rsidR="000A1782" w:rsidRPr="00EE5F7E" w:rsidRDefault="000A1782" w:rsidP="000A1782">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snapToGrid w:val="0"/>
          <w:color w:val="000080"/>
        </w:rPr>
      </w:pPr>
      <w:r w:rsidRPr="00D96C45">
        <w:rPr>
          <w:rFonts w:ascii="Arial" w:eastAsia="Arial Unicode MS" w:hAnsi="Arial" w:cs="Arial"/>
          <w:snapToGrid w:val="0"/>
          <w:color w:val="000080"/>
        </w:rPr>
        <w:t xml:space="preserve"> </w:t>
      </w:r>
      <w:r w:rsidR="0019669B">
        <w:rPr>
          <w:rFonts w:ascii="Verdana" w:eastAsia="Arial Unicode MS" w:hAnsi="Verdana" w:cs="Arial"/>
          <w:snapToGrid w:val="0"/>
        </w:rPr>
        <w:t>Así</w:t>
      </w:r>
      <w:r w:rsidRPr="00EE5F7E">
        <w:rPr>
          <w:rFonts w:ascii="Verdana" w:eastAsia="Arial Unicode MS" w:hAnsi="Verdana" w:cs="Arial"/>
          <w:snapToGrid w:val="0"/>
        </w:rPr>
        <w:t xml:space="preserve"> </w:t>
      </w:r>
      <w:r w:rsidR="0019669B" w:rsidRPr="0019669B">
        <w:rPr>
          <w:rFonts w:ascii="Verdana" w:eastAsia="Arial Unicode MS" w:hAnsi="Verdana" w:cs="Arial"/>
          <w:snapToGrid w:val="0"/>
        </w:rPr>
        <w:t xml:space="preserve">se define un primer modelo, para aquellos </w:t>
      </w:r>
      <w:r w:rsidRPr="0019669B">
        <w:rPr>
          <w:rFonts w:ascii="Verdana" w:eastAsia="Arial Unicode MS" w:hAnsi="Verdana" w:cs="Arial"/>
          <w:snapToGrid w:val="0"/>
        </w:rPr>
        <w:t xml:space="preserve">partidos judiciales que en la actualidad cuentan únicamente con un solo órgano judicial. Estos están radicados en las Comunidades Autónomas con más extensión territorial como son Castilla la Mancha, Castilla León y Extremadura y en ellos, por la mínima dotación del personal con que se dispone, se mantiene para la oficina judicial la misma estructura que hasta ahora venía desplegada con la incorporación del </w:t>
      </w:r>
      <w:r w:rsidR="00BB6D51" w:rsidRPr="0019669B">
        <w:rPr>
          <w:rFonts w:ascii="Verdana" w:eastAsia="Arial Unicode MS" w:hAnsi="Verdana" w:cs="Arial"/>
          <w:snapToGrid w:val="0"/>
        </w:rPr>
        <w:t xml:space="preserve">Letrado de la Administración de Justicia </w:t>
      </w:r>
      <w:r w:rsidRPr="0019669B">
        <w:rPr>
          <w:rFonts w:ascii="Verdana" w:eastAsia="Arial Unicode MS" w:hAnsi="Verdana" w:cs="Arial"/>
          <w:snapToGrid w:val="0"/>
        </w:rPr>
        <w:t>y</w:t>
      </w:r>
      <w:r w:rsidR="00BB6D51" w:rsidRPr="0019669B">
        <w:rPr>
          <w:rFonts w:ascii="Verdana" w:eastAsia="Arial Unicode MS" w:hAnsi="Verdana" w:cs="Arial"/>
          <w:snapToGrid w:val="0"/>
        </w:rPr>
        <w:t xml:space="preserve"> el </w:t>
      </w:r>
      <w:r w:rsidRPr="0019669B">
        <w:rPr>
          <w:rFonts w:ascii="Verdana" w:eastAsia="Arial Unicode MS" w:hAnsi="Verdana" w:cs="Arial"/>
          <w:snapToGrid w:val="0"/>
        </w:rPr>
        <w:t>resto de los funcionarios en las respectivas relaciones de puestos de trabajo.</w:t>
      </w:r>
    </w:p>
    <w:p w:rsidR="00770F42" w:rsidRPr="0019669B" w:rsidRDefault="000A1782" w:rsidP="00EE5F7E">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snapToGrid w:val="0"/>
        </w:rPr>
      </w:pPr>
      <w:r w:rsidRPr="0019669B">
        <w:rPr>
          <w:rFonts w:ascii="Verdana" w:eastAsia="Arial Unicode MS" w:hAnsi="Verdana" w:cs="Arial"/>
          <w:snapToGrid w:val="0"/>
        </w:rPr>
        <w:t xml:space="preserve"> </w:t>
      </w:r>
      <w:r w:rsidR="00854C83" w:rsidRPr="0019669B">
        <w:rPr>
          <w:rFonts w:ascii="Verdana" w:eastAsia="Arial Unicode MS" w:hAnsi="Verdana" w:cs="Arial"/>
          <w:snapToGrid w:val="0"/>
        </w:rPr>
        <w:t>E</w:t>
      </w:r>
      <w:r w:rsidR="00100BB2" w:rsidRPr="0019669B">
        <w:rPr>
          <w:rFonts w:ascii="Verdana" w:eastAsia="Arial Unicode MS" w:hAnsi="Verdana" w:cs="Arial"/>
          <w:snapToGrid w:val="0"/>
        </w:rPr>
        <w:t>l resto de partidos judiciales, dada su heterogénea estructura</w:t>
      </w:r>
      <w:r w:rsidR="00770F42" w:rsidRPr="0019669B">
        <w:rPr>
          <w:rFonts w:ascii="Verdana" w:eastAsia="Arial Unicode MS" w:hAnsi="Verdana" w:cs="Arial"/>
          <w:snapToGrid w:val="0"/>
        </w:rPr>
        <w:t>, se han distribuido en los</w:t>
      </w:r>
      <w:r w:rsidR="0019669B" w:rsidRPr="0019669B">
        <w:rPr>
          <w:rFonts w:ascii="Verdana" w:eastAsia="Arial Unicode MS" w:hAnsi="Verdana" w:cs="Arial"/>
          <w:snapToGrid w:val="0"/>
        </w:rPr>
        <w:t xml:space="preserve"> siguientes tres modelos</w:t>
      </w:r>
      <w:r w:rsidR="00100BB2" w:rsidRPr="0019669B">
        <w:rPr>
          <w:rFonts w:ascii="Verdana" w:eastAsia="Arial Unicode MS" w:hAnsi="Verdana" w:cs="Arial"/>
          <w:snapToGrid w:val="0"/>
        </w:rPr>
        <w:t xml:space="preserve"> en función</w:t>
      </w:r>
      <w:r w:rsidR="00770F42" w:rsidRPr="0019669B">
        <w:rPr>
          <w:rFonts w:ascii="Verdana" w:eastAsia="Arial Unicode MS" w:hAnsi="Verdana" w:cs="Arial"/>
          <w:snapToGrid w:val="0"/>
        </w:rPr>
        <w:t xml:space="preserve"> por un lado </w:t>
      </w:r>
      <w:r w:rsidR="00100BB2" w:rsidRPr="0019669B">
        <w:rPr>
          <w:rFonts w:ascii="Verdana" w:eastAsia="Arial Unicode MS" w:hAnsi="Verdana" w:cs="Arial"/>
          <w:snapToGrid w:val="0"/>
        </w:rPr>
        <w:t xml:space="preserve">de la dotación de personal con la  que cuentan y  que como es lógico viene dada </w:t>
      </w:r>
      <w:r w:rsidR="00770F42" w:rsidRPr="0019669B">
        <w:rPr>
          <w:rFonts w:ascii="Verdana" w:eastAsia="Arial Unicode MS" w:hAnsi="Verdana" w:cs="Arial"/>
          <w:snapToGrid w:val="0"/>
        </w:rPr>
        <w:t>por el</w:t>
      </w:r>
      <w:r w:rsidR="00100BB2" w:rsidRPr="0019669B">
        <w:rPr>
          <w:rFonts w:ascii="Verdana" w:eastAsia="Arial Unicode MS" w:hAnsi="Verdana" w:cs="Arial"/>
          <w:snapToGrid w:val="0"/>
        </w:rPr>
        <w:t xml:space="preserve"> número de órganos judiciales, </w:t>
      </w:r>
      <w:r w:rsidR="00854C83" w:rsidRPr="0019669B">
        <w:rPr>
          <w:rFonts w:ascii="Verdana" w:eastAsia="Arial Unicode MS" w:hAnsi="Verdana" w:cs="Arial"/>
          <w:snapToGrid w:val="0"/>
        </w:rPr>
        <w:t xml:space="preserve">y por otro por la </w:t>
      </w:r>
      <w:r w:rsidR="00770F42" w:rsidRPr="0019669B">
        <w:rPr>
          <w:rFonts w:ascii="Verdana" w:eastAsia="Arial Unicode MS" w:hAnsi="Verdana" w:cs="Arial"/>
          <w:snapToGrid w:val="0"/>
        </w:rPr>
        <w:t xml:space="preserve">existencia de decanatos o servicios comunes que ya </w:t>
      </w:r>
      <w:r w:rsidR="00854C83" w:rsidRPr="0019669B">
        <w:rPr>
          <w:rFonts w:ascii="Verdana" w:eastAsia="Arial Unicode MS" w:hAnsi="Verdana" w:cs="Arial"/>
          <w:snapToGrid w:val="0"/>
        </w:rPr>
        <w:t>hay</w:t>
      </w:r>
      <w:r w:rsidR="005E0212" w:rsidRPr="0019669B">
        <w:rPr>
          <w:rFonts w:ascii="Verdana" w:eastAsia="Arial Unicode MS" w:hAnsi="Verdana" w:cs="Arial"/>
          <w:snapToGrid w:val="0"/>
        </w:rPr>
        <w:t>an</w:t>
      </w:r>
      <w:r w:rsidR="00770F42" w:rsidRPr="0019669B">
        <w:rPr>
          <w:rFonts w:ascii="Verdana" w:eastAsia="Arial Unicode MS" w:hAnsi="Verdana" w:cs="Arial"/>
          <w:snapToGrid w:val="0"/>
        </w:rPr>
        <w:t xml:space="preserve"> venido prestando servicios centralizados para </w:t>
      </w:r>
      <w:r w:rsidR="005E0212" w:rsidRPr="0019669B">
        <w:rPr>
          <w:rFonts w:ascii="Verdana" w:eastAsia="Arial Unicode MS" w:hAnsi="Verdana" w:cs="Arial"/>
          <w:snapToGrid w:val="0"/>
        </w:rPr>
        <w:t>los órganos judiciales de la sede.</w:t>
      </w:r>
    </w:p>
    <w:p w:rsidR="000A1782" w:rsidRPr="00EE5F7E" w:rsidRDefault="000A1782" w:rsidP="00EE5F7E">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snapToGrid w:val="0"/>
          <w:color w:val="000080"/>
        </w:rPr>
      </w:pPr>
      <w:r w:rsidRPr="00EE5F7E">
        <w:rPr>
          <w:rFonts w:ascii="Verdana" w:eastAsia="Arial Unicode MS" w:hAnsi="Verdana" w:cs="Arial"/>
          <w:snapToGrid w:val="0"/>
        </w:rPr>
        <w:t>Aquellos partidos judiciales que cuentan con dos o tres órganos judi</w:t>
      </w:r>
      <w:r w:rsidR="0019669B">
        <w:rPr>
          <w:rFonts w:ascii="Verdana" w:eastAsia="Arial Unicode MS" w:hAnsi="Verdana" w:cs="Arial"/>
          <w:snapToGrid w:val="0"/>
        </w:rPr>
        <w:t xml:space="preserve">ciales forman parte del segundo </w:t>
      </w:r>
      <w:r w:rsidR="0019669B" w:rsidRPr="0019669B">
        <w:rPr>
          <w:rFonts w:ascii="Verdana" w:eastAsia="Arial Unicode MS" w:hAnsi="Verdana" w:cs="Arial"/>
          <w:snapToGrid w:val="0"/>
        </w:rPr>
        <w:t>modelo</w:t>
      </w:r>
      <w:r w:rsidRPr="00EE5F7E">
        <w:rPr>
          <w:rFonts w:ascii="Verdana" w:eastAsia="Arial Unicode MS" w:hAnsi="Verdana" w:cs="Arial"/>
          <w:snapToGrid w:val="0"/>
        </w:rPr>
        <w:t>. Dentro del mismo y atendiendo fundamentalmente a la dotación concreta de los medios personales de que se cuenta o la peculiaridad de radicar en el archipiélago balear, se diseña la oficina judicial con un único Servicio Común Procesal, el Servicio Común</w:t>
      </w:r>
      <w:r w:rsidR="005E0212">
        <w:rPr>
          <w:rFonts w:ascii="Verdana" w:eastAsia="Arial Unicode MS" w:hAnsi="Verdana" w:cs="Arial"/>
          <w:snapToGrid w:val="0"/>
        </w:rPr>
        <w:t xml:space="preserve"> </w:t>
      </w:r>
      <w:r w:rsidR="005E0212" w:rsidRPr="0066115E">
        <w:rPr>
          <w:rFonts w:ascii="Verdana" w:eastAsia="Arial Unicode MS" w:hAnsi="Verdana" w:cs="Arial"/>
          <w:snapToGrid w:val="0"/>
        </w:rPr>
        <w:t>Procesal</w:t>
      </w:r>
      <w:r w:rsidRPr="005E0212">
        <w:rPr>
          <w:rFonts w:ascii="Verdana" w:eastAsia="Arial Unicode MS" w:hAnsi="Verdana" w:cs="Arial"/>
          <w:snapToGrid w:val="0"/>
          <w:color w:val="FF0000"/>
        </w:rPr>
        <w:t xml:space="preserve"> </w:t>
      </w:r>
      <w:r w:rsidRPr="00EE5F7E">
        <w:rPr>
          <w:rFonts w:ascii="Verdana" w:eastAsia="Arial Unicode MS" w:hAnsi="Verdana" w:cs="Arial"/>
          <w:snapToGrid w:val="0"/>
        </w:rPr>
        <w:t>General, si bien atendiendo a las circunstancia</w:t>
      </w:r>
      <w:r w:rsidR="005E0212">
        <w:rPr>
          <w:rFonts w:ascii="Verdana" w:eastAsia="Arial Unicode MS" w:hAnsi="Verdana" w:cs="Arial"/>
          <w:snapToGrid w:val="0"/>
        </w:rPr>
        <w:t xml:space="preserve">s concretas de cada sede, este </w:t>
      </w:r>
      <w:r w:rsidR="005E0212">
        <w:rPr>
          <w:rFonts w:ascii="Verdana" w:eastAsia="Arial Unicode MS" w:hAnsi="Verdana" w:cs="Arial"/>
          <w:snapToGrid w:val="0"/>
        </w:rPr>
        <w:lastRenderedPageBreak/>
        <w:t>s</w:t>
      </w:r>
      <w:r w:rsidRPr="00EE5F7E">
        <w:rPr>
          <w:rFonts w:ascii="Verdana" w:eastAsia="Arial Unicode MS" w:hAnsi="Verdana" w:cs="Arial"/>
          <w:snapToGrid w:val="0"/>
        </w:rPr>
        <w:t>ervicio puede ampliarse con una sección que asuma la fase ejecutiva, con la consiguiente descarga de trabajo para las unidades procesales de apoyo directo.</w:t>
      </w:r>
    </w:p>
    <w:p w:rsidR="000A1782" w:rsidRPr="0066115E" w:rsidRDefault="0066115E" w:rsidP="00EE5F7E">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snapToGrid w:val="0"/>
        </w:rPr>
      </w:pPr>
      <w:r>
        <w:rPr>
          <w:rFonts w:ascii="Verdana" w:eastAsia="Arial Unicode MS" w:hAnsi="Verdana" w:cs="Arial"/>
          <w:snapToGrid w:val="0"/>
        </w:rPr>
        <w:t>El tercer</w:t>
      </w:r>
      <w:r w:rsidR="000A1782" w:rsidRPr="00EE5F7E">
        <w:rPr>
          <w:rFonts w:ascii="Verdana" w:eastAsia="Arial Unicode MS" w:hAnsi="Verdana" w:cs="Arial"/>
          <w:snapToGrid w:val="0"/>
        </w:rPr>
        <w:t xml:space="preserve"> </w:t>
      </w:r>
      <w:r w:rsidR="006746D3">
        <w:rPr>
          <w:rFonts w:ascii="Verdana" w:eastAsia="Arial Unicode MS" w:hAnsi="Verdana" w:cs="Arial"/>
          <w:snapToGrid w:val="0"/>
        </w:rPr>
        <w:t xml:space="preserve">modelo se define para aquellos </w:t>
      </w:r>
      <w:r>
        <w:rPr>
          <w:rFonts w:ascii="Verdana" w:eastAsia="Arial Unicode MS" w:hAnsi="Verdana" w:cs="Arial"/>
          <w:snapToGrid w:val="0"/>
        </w:rPr>
        <w:t>partidos judiciales</w:t>
      </w:r>
      <w:r w:rsidR="000A1782" w:rsidRPr="00EE5F7E">
        <w:rPr>
          <w:rFonts w:ascii="Verdana" w:eastAsia="Arial Unicode MS" w:hAnsi="Verdana" w:cs="Arial"/>
          <w:snapToGrid w:val="0"/>
        </w:rPr>
        <w:t xml:space="preserve"> que teniendo </w:t>
      </w:r>
      <w:r w:rsidR="004F7158">
        <w:rPr>
          <w:rFonts w:ascii="Verdana" w:eastAsia="Arial Unicode MS" w:hAnsi="Verdana" w:cs="Arial"/>
          <w:snapToGrid w:val="0"/>
        </w:rPr>
        <w:t>más de cuatro</w:t>
      </w:r>
      <w:r w:rsidR="000A1782" w:rsidRPr="00EE5F7E">
        <w:rPr>
          <w:rFonts w:ascii="Verdana" w:eastAsia="Arial Unicode MS" w:hAnsi="Verdana" w:cs="Arial"/>
          <w:snapToGrid w:val="0"/>
        </w:rPr>
        <w:t xml:space="preserve"> Juzgados</w:t>
      </w:r>
      <w:r w:rsidR="004F7158">
        <w:rPr>
          <w:rFonts w:ascii="Verdana" w:eastAsia="Arial Unicode MS" w:hAnsi="Verdana" w:cs="Arial"/>
          <w:snapToGrid w:val="0"/>
        </w:rPr>
        <w:t>,</w:t>
      </w:r>
      <w:r w:rsidR="000A1782" w:rsidRPr="00EE5F7E">
        <w:rPr>
          <w:rFonts w:ascii="Verdana" w:eastAsia="Arial Unicode MS" w:hAnsi="Verdana" w:cs="Arial"/>
          <w:snapToGrid w:val="0"/>
        </w:rPr>
        <w:t xml:space="preserve"> su dotación de personal permite el establecimiento de dos Servicios Comunes Procesales, el Servicio Común </w:t>
      </w:r>
      <w:r w:rsidR="004426DA" w:rsidRPr="0066115E">
        <w:rPr>
          <w:rFonts w:ascii="Verdana" w:eastAsia="Arial Unicode MS" w:hAnsi="Verdana" w:cs="Arial"/>
          <w:snapToGrid w:val="0"/>
        </w:rPr>
        <w:t xml:space="preserve">Procesal </w:t>
      </w:r>
      <w:r w:rsidR="000A1782" w:rsidRPr="0066115E">
        <w:rPr>
          <w:rFonts w:ascii="Verdana" w:eastAsia="Arial Unicode MS" w:hAnsi="Verdana" w:cs="Arial"/>
          <w:snapToGrid w:val="0"/>
        </w:rPr>
        <w:t>General y el Servicio Común</w:t>
      </w:r>
      <w:r w:rsidR="004426DA" w:rsidRPr="0066115E">
        <w:rPr>
          <w:rFonts w:ascii="Verdana" w:eastAsia="Arial Unicode MS" w:hAnsi="Verdana" w:cs="Arial"/>
          <w:snapToGrid w:val="0"/>
        </w:rPr>
        <w:t xml:space="preserve"> Procesal</w:t>
      </w:r>
      <w:r w:rsidR="000A1782" w:rsidRPr="0066115E">
        <w:rPr>
          <w:rFonts w:ascii="Verdana" w:eastAsia="Arial Unicode MS" w:hAnsi="Verdana" w:cs="Arial"/>
          <w:snapToGrid w:val="0"/>
        </w:rPr>
        <w:t xml:space="preserve"> de Ejecución.  </w:t>
      </w:r>
    </w:p>
    <w:p w:rsidR="000A1782" w:rsidRPr="0066115E" w:rsidRDefault="0066115E" w:rsidP="00EE5F7E">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snapToGrid w:val="0"/>
        </w:rPr>
      </w:pPr>
      <w:r>
        <w:rPr>
          <w:rFonts w:ascii="Verdana" w:eastAsia="Arial Unicode MS" w:hAnsi="Verdana" w:cs="Arial"/>
          <w:snapToGrid w:val="0"/>
        </w:rPr>
        <w:t>Por último, el cuarto</w:t>
      </w:r>
      <w:r w:rsidR="000A1782" w:rsidRPr="00EE5F7E">
        <w:rPr>
          <w:rFonts w:ascii="Verdana" w:eastAsia="Arial Unicode MS" w:hAnsi="Verdana" w:cs="Arial"/>
          <w:snapToGrid w:val="0"/>
        </w:rPr>
        <w:t xml:space="preserve"> </w:t>
      </w:r>
      <w:r w:rsidR="005E0212" w:rsidRPr="0066115E">
        <w:rPr>
          <w:rFonts w:ascii="Verdana" w:eastAsia="Arial Unicode MS" w:hAnsi="Verdana" w:cs="Arial"/>
          <w:snapToGrid w:val="0"/>
        </w:rPr>
        <w:t>modelo</w:t>
      </w:r>
      <w:r w:rsidR="005E0212" w:rsidRPr="005E0212">
        <w:rPr>
          <w:rFonts w:ascii="Verdana" w:eastAsia="Arial Unicode MS" w:hAnsi="Verdana" w:cs="Arial"/>
          <w:snapToGrid w:val="0"/>
          <w:color w:val="FF0000"/>
        </w:rPr>
        <w:t xml:space="preserve"> </w:t>
      </w:r>
      <w:r w:rsidR="000A1782" w:rsidRPr="00EE5F7E">
        <w:rPr>
          <w:rFonts w:ascii="Verdana" w:eastAsia="Arial Unicode MS" w:hAnsi="Verdana" w:cs="Arial"/>
          <w:snapToGrid w:val="0"/>
        </w:rPr>
        <w:t xml:space="preserve">vendría </w:t>
      </w:r>
      <w:r w:rsidR="004426DA">
        <w:rPr>
          <w:rFonts w:ascii="Verdana" w:eastAsia="Arial Unicode MS" w:hAnsi="Verdana" w:cs="Arial"/>
          <w:snapToGrid w:val="0"/>
        </w:rPr>
        <w:t>definido para</w:t>
      </w:r>
      <w:r w:rsidR="000A1782" w:rsidRPr="00EE5F7E">
        <w:rPr>
          <w:rFonts w:ascii="Verdana" w:eastAsia="Arial Unicode MS" w:hAnsi="Verdana" w:cs="Arial"/>
          <w:snapToGrid w:val="0"/>
        </w:rPr>
        <w:t xml:space="preserve"> el resto de partidos judiciales, que por el número de funcionarios que integran sus plantillas, permiten el establecimiento de los tres Servicios Comunes Procesales previstos en la mencionada Orden 1741/2010, el Servicio Común</w:t>
      </w:r>
      <w:r w:rsidR="004426DA">
        <w:rPr>
          <w:rFonts w:ascii="Verdana" w:eastAsia="Arial Unicode MS" w:hAnsi="Verdana" w:cs="Arial"/>
          <w:snapToGrid w:val="0"/>
        </w:rPr>
        <w:t xml:space="preserve"> </w:t>
      </w:r>
      <w:r w:rsidR="004426DA" w:rsidRPr="0066115E">
        <w:rPr>
          <w:rFonts w:ascii="Verdana" w:eastAsia="Arial Unicode MS" w:hAnsi="Verdana" w:cs="Arial"/>
          <w:snapToGrid w:val="0"/>
        </w:rPr>
        <w:t>Procesal</w:t>
      </w:r>
      <w:r w:rsidR="000A1782" w:rsidRPr="0066115E">
        <w:rPr>
          <w:rFonts w:ascii="Verdana" w:eastAsia="Arial Unicode MS" w:hAnsi="Verdana" w:cs="Arial"/>
          <w:snapToGrid w:val="0"/>
        </w:rPr>
        <w:t xml:space="preserve"> General, el Servicio Común </w:t>
      </w:r>
      <w:r w:rsidR="004426DA" w:rsidRPr="0066115E">
        <w:rPr>
          <w:rFonts w:ascii="Verdana" w:eastAsia="Arial Unicode MS" w:hAnsi="Verdana" w:cs="Arial"/>
          <w:snapToGrid w:val="0"/>
        </w:rPr>
        <w:t xml:space="preserve">Procesal </w:t>
      </w:r>
      <w:r w:rsidR="000A1782" w:rsidRPr="0066115E">
        <w:rPr>
          <w:rFonts w:ascii="Verdana" w:eastAsia="Arial Unicode MS" w:hAnsi="Verdana" w:cs="Arial"/>
          <w:snapToGrid w:val="0"/>
        </w:rPr>
        <w:t xml:space="preserve">de Ordenación del Procedimiento y el Servicio Común </w:t>
      </w:r>
      <w:r w:rsidR="004426DA" w:rsidRPr="0066115E">
        <w:rPr>
          <w:rFonts w:ascii="Verdana" w:eastAsia="Arial Unicode MS" w:hAnsi="Verdana" w:cs="Arial"/>
          <w:snapToGrid w:val="0"/>
        </w:rPr>
        <w:t xml:space="preserve">Procesal </w:t>
      </w:r>
      <w:r w:rsidR="000A1782" w:rsidRPr="0066115E">
        <w:rPr>
          <w:rFonts w:ascii="Verdana" w:eastAsia="Arial Unicode MS" w:hAnsi="Verdana" w:cs="Arial"/>
          <w:snapToGrid w:val="0"/>
        </w:rPr>
        <w:t>de Ejecución.</w:t>
      </w:r>
    </w:p>
    <w:p w:rsidR="000A1782" w:rsidRPr="004E01F4" w:rsidRDefault="00770F42" w:rsidP="00EE5F7E">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Verdana" w:eastAsia="Arial Unicode MS" w:hAnsi="Verdana" w:cs="Arial"/>
          <w:snapToGrid w:val="0"/>
        </w:rPr>
      </w:pPr>
      <w:r w:rsidRPr="004E01F4">
        <w:rPr>
          <w:rFonts w:ascii="Verdana" w:eastAsia="Arial Unicode MS" w:hAnsi="Verdana" w:cs="Arial"/>
          <w:snapToGrid w:val="0"/>
        </w:rPr>
        <w:t xml:space="preserve">Se trata de un </w:t>
      </w:r>
      <w:r w:rsidR="0066115E" w:rsidRPr="004E01F4">
        <w:rPr>
          <w:rFonts w:ascii="Verdana" w:eastAsia="Arial Unicode MS" w:hAnsi="Verdana" w:cs="Arial"/>
          <w:snapToGrid w:val="0"/>
        </w:rPr>
        <w:t xml:space="preserve">ambicioso proyecto </w:t>
      </w:r>
      <w:r w:rsidRPr="004E01F4">
        <w:rPr>
          <w:rFonts w:ascii="Verdana" w:eastAsia="Arial Unicode MS" w:hAnsi="Verdana" w:cs="Arial"/>
          <w:snapToGrid w:val="0"/>
        </w:rPr>
        <w:t xml:space="preserve">con importantes </w:t>
      </w:r>
      <w:r w:rsidR="000A1782" w:rsidRPr="004E01F4">
        <w:rPr>
          <w:rFonts w:ascii="Verdana" w:eastAsia="Arial Unicode MS" w:hAnsi="Verdana" w:cs="Arial"/>
          <w:snapToGrid w:val="0"/>
        </w:rPr>
        <w:t xml:space="preserve">implicaciones económicas, tecnológicas y de tipo organizativo </w:t>
      </w:r>
      <w:r w:rsidRPr="004E01F4">
        <w:rPr>
          <w:rFonts w:ascii="Verdana" w:eastAsia="Arial Unicode MS" w:hAnsi="Verdana" w:cs="Arial"/>
          <w:snapToGrid w:val="0"/>
        </w:rPr>
        <w:t xml:space="preserve">por </w:t>
      </w:r>
      <w:r w:rsidR="00EE5F7E" w:rsidRPr="004E01F4">
        <w:rPr>
          <w:rFonts w:ascii="Verdana" w:eastAsia="Arial Unicode MS" w:hAnsi="Verdana" w:cs="Arial"/>
          <w:snapToGrid w:val="0"/>
        </w:rPr>
        <w:t>el elevado número de partidos judiciales a que afecta</w:t>
      </w:r>
      <w:r w:rsidRPr="004E01F4">
        <w:rPr>
          <w:rFonts w:ascii="Verdana" w:eastAsia="Arial Unicode MS" w:hAnsi="Verdana" w:cs="Arial"/>
          <w:snapToGrid w:val="0"/>
        </w:rPr>
        <w:t>.</w:t>
      </w:r>
      <w:r w:rsidR="00EE5F7E" w:rsidRPr="004E01F4">
        <w:rPr>
          <w:rFonts w:ascii="Verdana" w:eastAsia="Arial Unicode MS" w:hAnsi="Verdana" w:cs="Arial"/>
          <w:snapToGrid w:val="0"/>
        </w:rPr>
        <w:t xml:space="preserve"> </w:t>
      </w:r>
      <w:r w:rsidRPr="004E01F4">
        <w:rPr>
          <w:rFonts w:ascii="Verdana" w:eastAsia="Arial Unicode MS" w:hAnsi="Verdana" w:cs="Arial"/>
          <w:snapToGrid w:val="0"/>
        </w:rPr>
        <w:t xml:space="preserve">Por ello </w:t>
      </w:r>
      <w:r w:rsidR="000A1782" w:rsidRPr="004E01F4">
        <w:rPr>
          <w:rFonts w:ascii="Verdana" w:eastAsia="Arial Unicode MS" w:hAnsi="Verdana" w:cs="Arial"/>
          <w:snapToGrid w:val="0"/>
        </w:rPr>
        <w:t>se ha preferido</w:t>
      </w:r>
      <w:r w:rsidR="0066115E" w:rsidRPr="004E01F4">
        <w:rPr>
          <w:rFonts w:ascii="Verdana" w:eastAsia="Arial Unicode MS" w:hAnsi="Verdana" w:cs="Arial"/>
          <w:snapToGrid w:val="0"/>
        </w:rPr>
        <w:t xml:space="preserve"> optar en un primer momento por</w:t>
      </w:r>
      <w:r w:rsidRPr="004E01F4">
        <w:rPr>
          <w:rFonts w:ascii="Verdana" w:eastAsia="Arial Unicode MS" w:hAnsi="Verdana" w:cs="Arial"/>
          <w:snapToGrid w:val="0"/>
        </w:rPr>
        <w:t xml:space="preserve"> establecer los modelos sobre los que se implantarán las oficinas judiciales, pero s</w:t>
      </w:r>
      <w:r w:rsidR="004E01F4" w:rsidRPr="004E01F4">
        <w:rPr>
          <w:rFonts w:ascii="Verdana" w:eastAsia="Arial Unicode MS" w:hAnsi="Verdana" w:cs="Arial"/>
          <w:snapToGrid w:val="0"/>
        </w:rPr>
        <w:t xml:space="preserve">in aprobar </w:t>
      </w:r>
      <w:r w:rsidRPr="004E01F4">
        <w:rPr>
          <w:rFonts w:ascii="Verdana" w:eastAsia="Arial Unicode MS" w:hAnsi="Verdana" w:cs="Arial"/>
          <w:snapToGrid w:val="0"/>
        </w:rPr>
        <w:t xml:space="preserve"> las relaciones de puestos de trabajo, </w:t>
      </w:r>
      <w:r w:rsidR="00854C83" w:rsidRPr="004E01F4">
        <w:rPr>
          <w:rFonts w:ascii="Verdana" w:eastAsia="Arial Unicode MS" w:hAnsi="Verdana" w:cs="Arial"/>
          <w:snapToGrid w:val="0"/>
        </w:rPr>
        <w:t xml:space="preserve">defiriendo su aprobación </w:t>
      </w:r>
      <w:r w:rsidR="002839BD" w:rsidRPr="004E01F4">
        <w:rPr>
          <w:rFonts w:ascii="Verdana" w:eastAsia="Arial Unicode MS" w:hAnsi="Verdana" w:cs="Arial"/>
          <w:snapToGrid w:val="0"/>
        </w:rPr>
        <w:t>para</w:t>
      </w:r>
      <w:r w:rsidR="00854C83" w:rsidRPr="004E01F4">
        <w:rPr>
          <w:rFonts w:ascii="Verdana" w:eastAsia="Arial Unicode MS" w:hAnsi="Verdana" w:cs="Arial"/>
          <w:snapToGrid w:val="0"/>
        </w:rPr>
        <w:t xml:space="preserve"> el momento </w:t>
      </w:r>
      <w:r w:rsidR="004426DA" w:rsidRPr="004E01F4">
        <w:rPr>
          <w:rFonts w:ascii="Verdana" w:eastAsia="Arial Unicode MS" w:hAnsi="Verdana" w:cs="Arial"/>
          <w:snapToGrid w:val="0"/>
        </w:rPr>
        <w:t xml:space="preserve">en que </w:t>
      </w:r>
      <w:r w:rsidR="00854C83" w:rsidRPr="004E01F4">
        <w:rPr>
          <w:rFonts w:ascii="Verdana" w:eastAsia="Arial Unicode MS" w:hAnsi="Verdana" w:cs="Arial"/>
          <w:snapToGrid w:val="0"/>
        </w:rPr>
        <w:t xml:space="preserve">se dicten las correspondientes </w:t>
      </w:r>
      <w:r w:rsidR="00E702E3" w:rsidRPr="004E01F4">
        <w:rPr>
          <w:rFonts w:ascii="Verdana" w:eastAsia="Arial Unicode MS" w:hAnsi="Verdana" w:cs="Arial"/>
          <w:snapToGrid w:val="0"/>
        </w:rPr>
        <w:t>órdenes</w:t>
      </w:r>
      <w:r w:rsidR="00854C83" w:rsidRPr="004E01F4">
        <w:rPr>
          <w:rFonts w:ascii="Verdana" w:eastAsia="Arial Unicode MS" w:hAnsi="Verdana" w:cs="Arial"/>
          <w:snapToGrid w:val="0"/>
        </w:rPr>
        <w:t xml:space="preserve"> que supongan el </w:t>
      </w:r>
      <w:r w:rsidR="004426DA" w:rsidRPr="004E01F4">
        <w:rPr>
          <w:rFonts w:ascii="Verdana" w:eastAsia="Arial Unicode MS" w:hAnsi="Verdana" w:cs="Arial"/>
          <w:snapToGrid w:val="0"/>
        </w:rPr>
        <w:t xml:space="preserve">punto de partida </w:t>
      </w:r>
      <w:r w:rsidR="00854C83" w:rsidRPr="004E01F4">
        <w:rPr>
          <w:rFonts w:ascii="Verdana" w:eastAsia="Arial Unicode MS" w:hAnsi="Verdana" w:cs="Arial"/>
          <w:snapToGrid w:val="0"/>
        </w:rPr>
        <w:t>para la efectiva e inmediata implantaci</w:t>
      </w:r>
      <w:r w:rsidR="002839BD" w:rsidRPr="004E01F4">
        <w:rPr>
          <w:rFonts w:ascii="Verdana" w:eastAsia="Arial Unicode MS" w:hAnsi="Verdana" w:cs="Arial"/>
          <w:snapToGrid w:val="0"/>
        </w:rPr>
        <w:t>ón, con la aspiración de que sirvan</w:t>
      </w:r>
      <w:r w:rsidR="006B0456" w:rsidRPr="004E01F4">
        <w:rPr>
          <w:rFonts w:ascii="Verdana" w:eastAsia="Arial Unicode MS" w:hAnsi="Verdana" w:cs="Arial"/>
          <w:snapToGrid w:val="0"/>
        </w:rPr>
        <w:t>,</w:t>
      </w:r>
      <w:r w:rsidR="002839BD" w:rsidRPr="004E01F4">
        <w:rPr>
          <w:rFonts w:ascii="Verdana" w:eastAsia="Arial Unicode MS" w:hAnsi="Verdana" w:cs="Arial"/>
          <w:snapToGrid w:val="0"/>
        </w:rPr>
        <w:t xml:space="preserve"> mientras tanto</w:t>
      </w:r>
      <w:r w:rsidR="006B0456" w:rsidRPr="004E01F4">
        <w:rPr>
          <w:rFonts w:ascii="Verdana" w:eastAsia="Arial Unicode MS" w:hAnsi="Verdana" w:cs="Arial"/>
          <w:snapToGrid w:val="0"/>
        </w:rPr>
        <w:t>,</w:t>
      </w:r>
      <w:r w:rsidR="002839BD" w:rsidRPr="004E01F4">
        <w:rPr>
          <w:rFonts w:ascii="Verdana" w:eastAsia="Arial Unicode MS" w:hAnsi="Verdana" w:cs="Arial"/>
          <w:snapToGrid w:val="0"/>
        </w:rPr>
        <w:t xml:space="preserve"> de referente a la acción de gestión por parte del Ministerio de Justicia  respecto de </w:t>
      </w:r>
      <w:r w:rsidR="006B0456" w:rsidRPr="004E01F4">
        <w:rPr>
          <w:rFonts w:ascii="Verdana" w:eastAsia="Arial Unicode MS" w:hAnsi="Verdana" w:cs="Arial"/>
          <w:snapToGrid w:val="0"/>
        </w:rPr>
        <w:t xml:space="preserve">las </w:t>
      </w:r>
      <w:r w:rsidR="002839BD" w:rsidRPr="004E01F4">
        <w:rPr>
          <w:rFonts w:ascii="Verdana" w:eastAsia="Arial Unicode MS" w:hAnsi="Verdana" w:cs="Arial"/>
          <w:snapToGrid w:val="0"/>
        </w:rPr>
        <w:t>medidas de implementa</w:t>
      </w:r>
      <w:r w:rsidR="006B0456" w:rsidRPr="004E01F4">
        <w:rPr>
          <w:rFonts w:ascii="Verdana" w:eastAsia="Arial Unicode MS" w:hAnsi="Verdana" w:cs="Arial"/>
          <w:snapToGrid w:val="0"/>
        </w:rPr>
        <w:t xml:space="preserve">ción tecnológica, logística, </w:t>
      </w:r>
      <w:r w:rsidR="002839BD" w:rsidRPr="004E01F4">
        <w:rPr>
          <w:rFonts w:ascii="Verdana" w:eastAsia="Arial Unicode MS" w:hAnsi="Verdana" w:cs="Arial"/>
          <w:snapToGrid w:val="0"/>
        </w:rPr>
        <w:t>de adecuación de espac</w:t>
      </w:r>
      <w:r w:rsidR="006B0456" w:rsidRPr="004E01F4">
        <w:rPr>
          <w:rFonts w:ascii="Verdana" w:eastAsia="Arial Unicode MS" w:hAnsi="Verdana" w:cs="Arial"/>
          <w:snapToGrid w:val="0"/>
        </w:rPr>
        <w:t xml:space="preserve">ios, o que afecten al personal </w:t>
      </w:r>
      <w:r w:rsidR="004426DA" w:rsidRPr="004E01F4">
        <w:rPr>
          <w:rFonts w:ascii="Verdana" w:eastAsia="Arial Unicode MS" w:hAnsi="Verdana" w:cs="Arial"/>
          <w:snapToGrid w:val="0"/>
        </w:rPr>
        <w:t>que decidan afrontarse en</w:t>
      </w:r>
      <w:r w:rsidR="002839BD" w:rsidRPr="004E01F4">
        <w:rPr>
          <w:rFonts w:ascii="Verdana" w:eastAsia="Arial Unicode MS" w:hAnsi="Verdana" w:cs="Arial"/>
          <w:snapToGrid w:val="0"/>
        </w:rPr>
        <w:t xml:space="preserve"> tanto se </w:t>
      </w:r>
      <w:r w:rsidR="006B0456" w:rsidRPr="004E01F4">
        <w:rPr>
          <w:rFonts w:ascii="Verdana" w:eastAsia="Arial Unicode MS" w:hAnsi="Verdana" w:cs="Arial"/>
          <w:snapToGrid w:val="0"/>
        </w:rPr>
        <w:t>acomete</w:t>
      </w:r>
      <w:r w:rsidR="002839BD" w:rsidRPr="004E01F4">
        <w:rPr>
          <w:rFonts w:ascii="Verdana" w:eastAsia="Arial Unicode MS" w:hAnsi="Verdana" w:cs="Arial"/>
          <w:snapToGrid w:val="0"/>
        </w:rPr>
        <w:t xml:space="preserve"> </w:t>
      </w:r>
      <w:r w:rsidR="004426DA" w:rsidRPr="004E01F4">
        <w:rPr>
          <w:rFonts w:ascii="Verdana" w:eastAsia="Arial Unicode MS" w:hAnsi="Verdana" w:cs="Arial"/>
          <w:snapToGrid w:val="0"/>
        </w:rPr>
        <w:t>la misma</w:t>
      </w:r>
      <w:r w:rsidR="002839BD" w:rsidRPr="004E01F4">
        <w:rPr>
          <w:rFonts w:ascii="Verdana" w:eastAsia="Arial Unicode MS" w:hAnsi="Verdana" w:cs="Arial"/>
          <w:snapToGrid w:val="0"/>
        </w:rPr>
        <w:t>.</w:t>
      </w:r>
    </w:p>
    <w:p w:rsidR="002839BD" w:rsidRPr="004E01F4" w:rsidRDefault="002839BD" w:rsidP="00EE5F7E">
      <w:pPr>
        <w:pBdr>
          <w:top w:val="single" w:sz="6" w:space="2" w:color="FFFFFF"/>
          <w:left w:val="single" w:sz="6" w:space="8" w:color="FFFFFF"/>
          <w:bottom w:val="single" w:sz="6" w:space="2" w:color="FFFFFF"/>
          <w:right w:val="single" w:sz="6" w:space="2" w:color="FFFFFF"/>
        </w:pBdr>
        <w:shd w:val="clear" w:color="auto" w:fill="FFFFFF"/>
        <w:spacing w:before="100" w:beforeAutospacing="1" w:after="60"/>
        <w:ind w:left="284" w:right="75" w:firstLine="424"/>
        <w:jc w:val="both"/>
        <w:rPr>
          <w:rFonts w:ascii="Arial" w:eastAsia="Arial Unicode MS" w:hAnsi="Arial" w:cs="Arial"/>
          <w:snapToGrid w:val="0"/>
        </w:rPr>
      </w:pPr>
      <w:r w:rsidRPr="004E01F4">
        <w:rPr>
          <w:rFonts w:ascii="Verdana" w:eastAsia="Arial Unicode MS" w:hAnsi="Verdana" w:cs="Arial"/>
          <w:snapToGrid w:val="0"/>
        </w:rPr>
        <w:t>Mención especial merecen el Tribunal Supremo y la Audiencia Nacional</w:t>
      </w:r>
      <w:r w:rsidR="007852D1" w:rsidRPr="004E01F4">
        <w:rPr>
          <w:rFonts w:ascii="Verdana" w:eastAsia="Arial Unicode MS" w:hAnsi="Verdana" w:cs="Arial"/>
          <w:snapToGrid w:val="0"/>
        </w:rPr>
        <w:t>, órganos judiciales que extiende su jurisdicción a todo el territorio nacional</w:t>
      </w:r>
      <w:r w:rsidRPr="004E01F4">
        <w:rPr>
          <w:rFonts w:ascii="Verdana" w:eastAsia="Arial Unicode MS" w:hAnsi="Verdana" w:cs="Arial"/>
          <w:snapToGrid w:val="0"/>
        </w:rPr>
        <w:t xml:space="preserve">. Para ambos órganos centrales se </w:t>
      </w:r>
      <w:r w:rsidR="00B9006F" w:rsidRPr="004E01F4">
        <w:rPr>
          <w:rFonts w:ascii="Verdana" w:eastAsia="Arial Unicode MS" w:hAnsi="Verdana" w:cs="Arial"/>
          <w:snapToGrid w:val="0"/>
        </w:rPr>
        <w:t>hace necesario abordar la implantación de la oficina judicial de forma individualizada, dada su dimensión y su complejidad, en función de las especiales características de cada uno de ellos, y definir aquellos servicios comunes procesales que se adapten a sus necesidades, en función de los distintos órdenes jurisdiccionales y fases procesales que tienen encomendadas.</w:t>
      </w:r>
    </w:p>
    <w:p w:rsidR="00EE5F7E" w:rsidRDefault="00EE5F7E" w:rsidP="00EE5F7E">
      <w:pPr>
        <w:ind w:left="284" w:firstLine="424"/>
        <w:jc w:val="both"/>
        <w:rPr>
          <w:rFonts w:ascii="Verdana" w:eastAsia="Arial Unicode MS" w:hAnsi="Verdana" w:cs="Arial"/>
          <w:snapToGrid w:val="0"/>
        </w:rPr>
      </w:pPr>
    </w:p>
    <w:p w:rsidR="000A1782" w:rsidRPr="004426DA" w:rsidRDefault="000A1782" w:rsidP="00EE5F7E">
      <w:pPr>
        <w:ind w:left="284" w:firstLine="424"/>
        <w:jc w:val="both"/>
        <w:rPr>
          <w:rFonts w:ascii="Verdana" w:eastAsia="Arial Unicode MS" w:hAnsi="Verdana" w:cs="Arial"/>
          <w:strike/>
          <w:snapToGrid w:val="0"/>
          <w:color w:val="FF0000"/>
        </w:rPr>
      </w:pPr>
      <w:r w:rsidRPr="00EE5F7E">
        <w:rPr>
          <w:rFonts w:ascii="Verdana" w:eastAsia="Arial Unicode MS" w:hAnsi="Verdana" w:cs="Arial"/>
          <w:snapToGrid w:val="0"/>
        </w:rPr>
        <w:t xml:space="preserve">Esta orden tiene por </w:t>
      </w:r>
      <w:r w:rsidRPr="004E01F4">
        <w:rPr>
          <w:rFonts w:ascii="Verdana" w:eastAsia="Arial Unicode MS" w:hAnsi="Verdana" w:cs="Arial"/>
          <w:snapToGrid w:val="0"/>
        </w:rPr>
        <w:t xml:space="preserve">tanto </w:t>
      </w:r>
      <w:r w:rsidR="00854C83" w:rsidRPr="004E01F4">
        <w:rPr>
          <w:rFonts w:ascii="Verdana" w:eastAsia="Arial Unicode MS" w:hAnsi="Verdana" w:cs="Arial"/>
          <w:snapToGrid w:val="0"/>
        </w:rPr>
        <w:t xml:space="preserve">como </w:t>
      </w:r>
      <w:r w:rsidRPr="00EE5F7E">
        <w:rPr>
          <w:rFonts w:ascii="Verdana" w:eastAsia="Arial Unicode MS" w:hAnsi="Verdana" w:cs="Arial"/>
          <w:snapToGrid w:val="0"/>
        </w:rPr>
        <w:t>objetivo establecer el diseño de la Oficina Judicial para todos aquellos partidos judiciales donde está pendiente su implantación dentro del ámbito territorial del Ministerio de Justicia mediante la definició</w:t>
      </w:r>
      <w:r w:rsidR="004E01F4">
        <w:rPr>
          <w:rFonts w:ascii="Verdana" w:eastAsia="Arial Unicode MS" w:hAnsi="Verdana" w:cs="Arial"/>
          <w:snapToGrid w:val="0"/>
        </w:rPr>
        <w:t>n de su dimensión y estructura.</w:t>
      </w:r>
    </w:p>
    <w:p w:rsidR="002839BD" w:rsidRPr="002839BD" w:rsidRDefault="002839BD" w:rsidP="00EE5F7E">
      <w:pPr>
        <w:ind w:left="284" w:firstLine="424"/>
        <w:jc w:val="both"/>
        <w:rPr>
          <w:rFonts w:ascii="Verdana" w:eastAsia="Arial Unicode MS" w:hAnsi="Verdana" w:cs="Arial"/>
          <w:snapToGrid w:val="0"/>
        </w:rPr>
      </w:pPr>
    </w:p>
    <w:p w:rsidR="000A1782" w:rsidRDefault="000A1782" w:rsidP="00EE5F7E">
      <w:pPr>
        <w:ind w:left="284" w:firstLine="424"/>
        <w:jc w:val="both"/>
      </w:pPr>
    </w:p>
    <w:p w:rsidR="00EE5F7E" w:rsidRPr="00847D26" w:rsidRDefault="000A1782" w:rsidP="00EE5F7E">
      <w:pPr>
        <w:ind w:left="284" w:firstLine="424"/>
        <w:jc w:val="both"/>
        <w:rPr>
          <w:rFonts w:ascii="Verdana" w:hAnsi="Verdana"/>
          <w:szCs w:val="20"/>
          <w:lang w:eastAsia="x-none"/>
        </w:rPr>
      </w:pPr>
      <w:r w:rsidRPr="00EE5F7E">
        <w:rPr>
          <w:rFonts w:ascii="Verdana" w:hAnsi="Verdana"/>
          <w:szCs w:val="20"/>
          <w:lang w:eastAsia="x-none"/>
        </w:rPr>
        <w:t xml:space="preserve">La presente Orden consta </w:t>
      </w:r>
      <w:r w:rsidRPr="004E01F4">
        <w:rPr>
          <w:rFonts w:ascii="Verdana" w:hAnsi="Verdana"/>
          <w:szCs w:val="20"/>
          <w:lang w:eastAsia="x-none"/>
        </w:rPr>
        <w:t xml:space="preserve">de </w:t>
      </w:r>
      <w:r w:rsidR="00847D26">
        <w:rPr>
          <w:rFonts w:ascii="Verdana" w:hAnsi="Verdana"/>
          <w:szCs w:val="20"/>
          <w:lang w:eastAsia="x-none"/>
        </w:rPr>
        <w:t>seis</w:t>
      </w:r>
      <w:r w:rsidR="00EE5F7E" w:rsidRPr="004E01F4">
        <w:rPr>
          <w:rFonts w:ascii="Verdana" w:hAnsi="Verdana"/>
          <w:szCs w:val="20"/>
          <w:lang w:eastAsia="x-none"/>
        </w:rPr>
        <w:t xml:space="preserve"> </w:t>
      </w:r>
      <w:r w:rsidRPr="004E01F4">
        <w:rPr>
          <w:rFonts w:ascii="Verdana" w:hAnsi="Verdana"/>
          <w:szCs w:val="20"/>
          <w:lang w:eastAsia="x-none"/>
        </w:rPr>
        <w:t>artículos</w:t>
      </w:r>
      <w:r w:rsidR="004F7158">
        <w:rPr>
          <w:rFonts w:ascii="Verdana" w:hAnsi="Verdana"/>
          <w:szCs w:val="20"/>
          <w:lang w:eastAsia="x-none"/>
        </w:rPr>
        <w:t xml:space="preserve"> y una </w:t>
      </w:r>
      <w:r w:rsidR="00D30569">
        <w:rPr>
          <w:rFonts w:ascii="Verdana" w:hAnsi="Verdana"/>
          <w:szCs w:val="20"/>
          <w:lang w:eastAsia="x-none"/>
        </w:rPr>
        <w:t>dis</w:t>
      </w:r>
      <w:r w:rsidRPr="004E01F4">
        <w:rPr>
          <w:rFonts w:ascii="Verdana" w:hAnsi="Verdana"/>
          <w:szCs w:val="20"/>
          <w:lang w:eastAsia="x-none"/>
        </w:rPr>
        <w:t>posición final</w:t>
      </w:r>
      <w:r w:rsidR="003F40B3" w:rsidRPr="004E01F4">
        <w:rPr>
          <w:rFonts w:ascii="Verdana" w:hAnsi="Verdana"/>
          <w:szCs w:val="20"/>
          <w:lang w:eastAsia="x-none"/>
        </w:rPr>
        <w:t xml:space="preserve">, </w:t>
      </w:r>
      <w:r w:rsidR="003F40B3" w:rsidRPr="00847D26">
        <w:rPr>
          <w:rFonts w:ascii="Verdana" w:hAnsi="Verdana"/>
          <w:szCs w:val="20"/>
          <w:lang w:eastAsia="x-none"/>
        </w:rPr>
        <w:t>así como de</w:t>
      </w:r>
      <w:r w:rsidR="00847D26" w:rsidRPr="00847D26">
        <w:rPr>
          <w:rFonts w:ascii="Verdana" w:hAnsi="Verdana"/>
          <w:szCs w:val="20"/>
          <w:lang w:eastAsia="x-none"/>
        </w:rPr>
        <w:t xml:space="preserve"> un anexo</w:t>
      </w:r>
      <w:r w:rsidRPr="00847D26">
        <w:rPr>
          <w:rFonts w:ascii="Verdana" w:hAnsi="Verdana"/>
          <w:szCs w:val="20"/>
          <w:lang w:eastAsia="x-none"/>
        </w:rPr>
        <w:t xml:space="preserve">.  </w:t>
      </w:r>
    </w:p>
    <w:p w:rsidR="00EE5F7E" w:rsidRPr="00847D26" w:rsidRDefault="00EE5F7E" w:rsidP="00EE5F7E">
      <w:pPr>
        <w:ind w:left="284" w:firstLine="424"/>
        <w:jc w:val="both"/>
        <w:rPr>
          <w:rFonts w:ascii="Verdana" w:hAnsi="Verdana"/>
          <w:szCs w:val="20"/>
          <w:lang w:eastAsia="x-none"/>
        </w:rPr>
      </w:pPr>
    </w:p>
    <w:p w:rsidR="003F40B3" w:rsidRPr="00847D26" w:rsidRDefault="004F7158" w:rsidP="00EE5F7E">
      <w:pPr>
        <w:ind w:left="284" w:firstLine="424"/>
        <w:jc w:val="both"/>
        <w:rPr>
          <w:rFonts w:ascii="Verdana" w:hAnsi="Verdana"/>
          <w:szCs w:val="20"/>
          <w:lang w:eastAsia="x-none"/>
        </w:rPr>
      </w:pPr>
      <w:r>
        <w:rPr>
          <w:rFonts w:ascii="Verdana" w:hAnsi="Verdana"/>
          <w:szCs w:val="20"/>
          <w:lang w:eastAsia="x-none"/>
        </w:rPr>
        <w:t xml:space="preserve">El anexo </w:t>
      </w:r>
      <w:r w:rsidR="000A1782" w:rsidRPr="00847D26">
        <w:rPr>
          <w:rFonts w:ascii="Verdana" w:hAnsi="Verdana"/>
          <w:szCs w:val="20"/>
          <w:lang w:eastAsia="x-none"/>
        </w:rPr>
        <w:t xml:space="preserve">refleja todos los  partidos judiciales que </w:t>
      </w:r>
      <w:r w:rsidR="003F40B3" w:rsidRPr="00847D26">
        <w:rPr>
          <w:rFonts w:ascii="Verdana" w:hAnsi="Verdana"/>
          <w:szCs w:val="20"/>
          <w:lang w:eastAsia="x-none"/>
        </w:rPr>
        <w:t>están</w:t>
      </w:r>
      <w:r w:rsidR="000A1782" w:rsidRPr="00847D26">
        <w:rPr>
          <w:rFonts w:ascii="Verdana" w:hAnsi="Verdana"/>
          <w:szCs w:val="20"/>
          <w:lang w:eastAsia="x-none"/>
        </w:rPr>
        <w:t xml:space="preserve"> pendientes </w:t>
      </w:r>
      <w:r w:rsidR="003F40B3" w:rsidRPr="00847D26">
        <w:rPr>
          <w:rFonts w:ascii="Verdana" w:hAnsi="Verdana"/>
          <w:szCs w:val="20"/>
          <w:lang w:eastAsia="x-none"/>
        </w:rPr>
        <w:t xml:space="preserve">de </w:t>
      </w:r>
      <w:r w:rsidR="000A1782" w:rsidRPr="00847D26">
        <w:rPr>
          <w:rFonts w:ascii="Verdana" w:hAnsi="Verdana"/>
          <w:szCs w:val="20"/>
          <w:lang w:eastAsia="x-none"/>
        </w:rPr>
        <w:t>la implantación de la oficina judicial</w:t>
      </w:r>
      <w:r w:rsidR="003F40B3" w:rsidRPr="00847D26">
        <w:rPr>
          <w:rFonts w:ascii="Verdana" w:hAnsi="Verdana"/>
          <w:szCs w:val="20"/>
          <w:lang w:eastAsia="x-none"/>
        </w:rPr>
        <w:t xml:space="preserve"> en el territorio Ministerio de Justicia</w:t>
      </w:r>
      <w:r w:rsidR="000A1782" w:rsidRPr="00847D26">
        <w:rPr>
          <w:rFonts w:ascii="Verdana" w:hAnsi="Verdana"/>
          <w:szCs w:val="20"/>
          <w:lang w:eastAsia="x-none"/>
        </w:rPr>
        <w:t>, distribuidos en cuatro grandes apartados en fu</w:t>
      </w:r>
      <w:r w:rsidR="008B4D3A">
        <w:rPr>
          <w:rFonts w:ascii="Verdana" w:hAnsi="Verdana"/>
          <w:szCs w:val="20"/>
          <w:lang w:eastAsia="x-none"/>
        </w:rPr>
        <w:t>nción al modelo que van a seguir</w:t>
      </w:r>
      <w:r w:rsidR="00D30569">
        <w:rPr>
          <w:rFonts w:ascii="Verdana" w:hAnsi="Verdana"/>
          <w:szCs w:val="20"/>
          <w:lang w:eastAsia="x-none"/>
        </w:rPr>
        <w:t>, pudiendo pasar de uno a otro si el desarrollo</w:t>
      </w:r>
      <w:r w:rsidR="008B4D3A">
        <w:rPr>
          <w:rFonts w:ascii="Verdana" w:hAnsi="Verdana"/>
          <w:szCs w:val="20"/>
          <w:lang w:eastAsia="x-none"/>
        </w:rPr>
        <w:t xml:space="preserve"> de la planta judicial</w:t>
      </w:r>
      <w:r w:rsidR="00D30569">
        <w:rPr>
          <w:rFonts w:ascii="Verdana" w:hAnsi="Verdana"/>
          <w:szCs w:val="20"/>
          <w:lang w:eastAsia="x-none"/>
        </w:rPr>
        <w:t xml:space="preserve"> y  los recursos de la </w:t>
      </w:r>
      <w:r w:rsidR="008B4D3A">
        <w:rPr>
          <w:rFonts w:ascii="Verdana" w:hAnsi="Verdana"/>
          <w:szCs w:val="20"/>
          <w:lang w:eastAsia="x-none"/>
        </w:rPr>
        <w:t xml:space="preserve">oficina </w:t>
      </w:r>
      <w:r w:rsidR="00D30569">
        <w:rPr>
          <w:rFonts w:ascii="Verdana" w:hAnsi="Verdana"/>
          <w:szCs w:val="20"/>
          <w:lang w:eastAsia="x-none"/>
        </w:rPr>
        <w:t>judicial así lo aconsejara</w:t>
      </w:r>
      <w:r w:rsidR="00C27659">
        <w:rPr>
          <w:rFonts w:ascii="Verdana" w:hAnsi="Verdana"/>
          <w:szCs w:val="20"/>
          <w:lang w:eastAsia="x-none"/>
        </w:rPr>
        <w:t>n</w:t>
      </w:r>
      <w:r w:rsidR="000A1782" w:rsidRPr="00847D26">
        <w:rPr>
          <w:rFonts w:ascii="Verdana" w:hAnsi="Verdana"/>
          <w:szCs w:val="20"/>
          <w:lang w:eastAsia="x-none"/>
        </w:rPr>
        <w:t xml:space="preserve">. </w:t>
      </w:r>
    </w:p>
    <w:p w:rsidR="003F40B3" w:rsidRPr="00847D26" w:rsidRDefault="003F40B3" w:rsidP="00EE5F7E">
      <w:pPr>
        <w:ind w:left="284" w:firstLine="424"/>
        <w:jc w:val="both"/>
        <w:rPr>
          <w:rFonts w:ascii="Verdana" w:hAnsi="Verdana"/>
          <w:szCs w:val="20"/>
          <w:lang w:eastAsia="x-none"/>
        </w:rPr>
      </w:pPr>
    </w:p>
    <w:p w:rsidR="000A1782" w:rsidRDefault="000A1782" w:rsidP="000A1782">
      <w:pPr>
        <w:ind w:firstLine="708"/>
        <w:jc w:val="both"/>
        <w:rPr>
          <w:rFonts w:ascii="Arial" w:hAnsi="Arial"/>
          <w:color w:val="000080"/>
          <w:szCs w:val="20"/>
          <w:lang w:eastAsia="x-none"/>
        </w:rPr>
      </w:pPr>
    </w:p>
    <w:p w:rsidR="000A1782" w:rsidRPr="008B4D3A" w:rsidRDefault="000A1782" w:rsidP="003F40B3">
      <w:pPr>
        <w:tabs>
          <w:tab w:val="left" w:pos="284"/>
        </w:tabs>
        <w:ind w:left="284" w:firstLine="424"/>
        <w:jc w:val="both"/>
        <w:rPr>
          <w:rFonts w:ascii="Verdana" w:hAnsi="Verdana"/>
          <w:szCs w:val="20"/>
          <w:lang w:eastAsia="x-none"/>
        </w:rPr>
      </w:pPr>
      <w:r w:rsidRPr="008B4D3A">
        <w:rPr>
          <w:rFonts w:ascii="Verdana" w:hAnsi="Verdana"/>
          <w:szCs w:val="20"/>
          <w:lang w:eastAsia="x-none"/>
        </w:rPr>
        <w:t xml:space="preserve">Esta Orden ha sido informada por el Consejo General del Poder Judicial, el Consejo del Secretariado y el Ministerio de Hacienda y Administraciones Públicas, y </w:t>
      </w:r>
      <w:r w:rsidR="004F7158" w:rsidRPr="008B4D3A">
        <w:rPr>
          <w:rFonts w:ascii="Verdana" w:hAnsi="Verdana"/>
          <w:szCs w:val="20"/>
          <w:lang w:eastAsia="x-none"/>
        </w:rPr>
        <w:t xml:space="preserve">oídas </w:t>
      </w:r>
      <w:r w:rsidRPr="008B4D3A">
        <w:rPr>
          <w:rFonts w:ascii="Verdana" w:hAnsi="Verdana"/>
          <w:szCs w:val="20"/>
          <w:lang w:eastAsia="x-none"/>
        </w:rPr>
        <w:t xml:space="preserve"> las organizaciones sindicales más representativas.</w:t>
      </w:r>
    </w:p>
    <w:p w:rsidR="000A1782" w:rsidRPr="008B4D3A" w:rsidRDefault="000A1782" w:rsidP="003F40B3">
      <w:pPr>
        <w:tabs>
          <w:tab w:val="left" w:pos="284"/>
        </w:tabs>
        <w:ind w:left="284" w:firstLine="424"/>
        <w:jc w:val="both"/>
        <w:rPr>
          <w:rFonts w:ascii="Verdana" w:hAnsi="Verdana"/>
          <w:szCs w:val="20"/>
          <w:lang w:eastAsia="x-none"/>
        </w:rPr>
      </w:pPr>
    </w:p>
    <w:p w:rsidR="000A1782" w:rsidRDefault="000A1782" w:rsidP="000A1782">
      <w:pPr>
        <w:ind w:firstLine="708"/>
        <w:jc w:val="both"/>
        <w:rPr>
          <w:rFonts w:ascii="Arial" w:hAnsi="Arial"/>
          <w:color w:val="000080"/>
          <w:szCs w:val="20"/>
          <w:lang w:eastAsia="x-none"/>
        </w:rPr>
      </w:pPr>
    </w:p>
    <w:p w:rsidR="000A1782" w:rsidRDefault="000A1782" w:rsidP="000A1782">
      <w:pPr>
        <w:ind w:firstLine="708"/>
        <w:jc w:val="both"/>
        <w:rPr>
          <w:rFonts w:ascii="Arial" w:hAnsi="Arial"/>
          <w:color w:val="000080"/>
          <w:szCs w:val="20"/>
          <w:lang w:eastAsia="x-none"/>
        </w:rPr>
      </w:pPr>
    </w:p>
    <w:p w:rsidR="000A1782" w:rsidRPr="003F40B3" w:rsidRDefault="000A1782" w:rsidP="000A1782">
      <w:pPr>
        <w:ind w:firstLine="708"/>
        <w:jc w:val="both"/>
        <w:rPr>
          <w:rFonts w:ascii="Verdana" w:hAnsi="Verdana"/>
          <w:szCs w:val="20"/>
          <w:lang w:eastAsia="x-none"/>
        </w:rPr>
      </w:pPr>
      <w:r w:rsidRPr="003F40B3">
        <w:rPr>
          <w:rFonts w:ascii="Verdana" w:hAnsi="Verdana"/>
          <w:szCs w:val="20"/>
          <w:lang w:eastAsia="x-none"/>
        </w:rPr>
        <w:t xml:space="preserve">En su virtud dispongo: </w:t>
      </w:r>
    </w:p>
    <w:p w:rsidR="000A1782" w:rsidRPr="003F40B3" w:rsidRDefault="000A1782" w:rsidP="000A1782">
      <w:pPr>
        <w:ind w:firstLine="708"/>
        <w:jc w:val="both"/>
        <w:rPr>
          <w:rFonts w:ascii="Verdana" w:hAnsi="Verdana"/>
          <w:szCs w:val="20"/>
          <w:lang w:eastAsia="x-none"/>
        </w:rPr>
      </w:pPr>
    </w:p>
    <w:p w:rsidR="000A1782" w:rsidRPr="003F40B3" w:rsidRDefault="000A1782" w:rsidP="000A1782">
      <w:pPr>
        <w:ind w:firstLine="708"/>
        <w:jc w:val="both"/>
        <w:rPr>
          <w:rFonts w:ascii="Verdana" w:hAnsi="Verdana"/>
          <w:b/>
          <w:i/>
          <w:szCs w:val="20"/>
          <w:lang w:eastAsia="x-none"/>
        </w:rPr>
      </w:pPr>
      <w:r w:rsidRPr="003F40B3">
        <w:rPr>
          <w:rFonts w:ascii="Verdana" w:hAnsi="Verdana"/>
          <w:b/>
          <w:i/>
          <w:szCs w:val="20"/>
          <w:lang w:eastAsia="x-none"/>
        </w:rPr>
        <w:t xml:space="preserve">Artículo 1. Objeto </w:t>
      </w:r>
    </w:p>
    <w:p w:rsidR="000A1782" w:rsidRPr="003F40B3" w:rsidRDefault="000A1782" w:rsidP="000A1782">
      <w:pPr>
        <w:ind w:firstLine="708"/>
        <w:jc w:val="both"/>
        <w:rPr>
          <w:rFonts w:ascii="Verdana" w:hAnsi="Verdana"/>
          <w:i/>
          <w:szCs w:val="20"/>
          <w:lang w:eastAsia="x-none"/>
        </w:rPr>
      </w:pPr>
    </w:p>
    <w:p w:rsidR="000A1782" w:rsidRPr="003F40B3" w:rsidRDefault="000A1782" w:rsidP="000A1782">
      <w:pPr>
        <w:ind w:firstLine="708"/>
        <w:jc w:val="both"/>
        <w:rPr>
          <w:rFonts w:ascii="Verdana" w:hAnsi="Verdana"/>
          <w:szCs w:val="20"/>
          <w:lang w:eastAsia="x-none"/>
        </w:rPr>
      </w:pPr>
      <w:r w:rsidRPr="003F40B3">
        <w:rPr>
          <w:rFonts w:ascii="Verdana" w:hAnsi="Verdana"/>
          <w:szCs w:val="20"/>
          <w:lang w:eastAsia="x-none"/>
        </w:rPr>
        <w:t xml:space="preserve">La presente orden tiene por objeto: </w:t>
      </w:r>
    </w:p>
    <w:p w:rsidR="000A1782" w:rsidRPr="003F40B3" w:rsidRDefault="000A1782" w:rsidP="000A1782">
      <w:pPr>
        <w:ind w:firstLine="708"/>
        <w:jc w:val="both"/>
        <w:rPr>
          <w:rFonts w:ascii="Verdana" w:hAnsi="Verdana"/>
          <w:szCs w:val="20"/>
          <w:lang w:eastAsia="x-none"/>
        </w:rPr>
      </w:pPr>
    </w:p>
    <w:p w:rsidR="000A1782" w:rsidRPr="002839BD" w:rsidRDefault="00E702E3" w:rsidP="002839BD">
      <w:pPr>
        <w:spacing w:line="276" w:lineRule="auto"/>
        <w:ind w:firstLine="708"/>
        <w:jc w:val="both"/>
        <w:rPr>
          <w:rFonts w:ascii="Verdana" w:hAnsi="Verdana"/>
          <w:szCs w:val="20"/>
          <w:lang w:eastAsia="x-none"/>
        </w:rPr>
      </w:pPr>
      <w:r>
        <w:rPr>
          <w:rFonts w:ascii="Verdana" w:hAnsi="Verdana"/>
          <w:szCs w:val="20"/>
          <w:lang w:eastAsia="x-none"/>
        </w:rPr>
        <w:t xml:space="preserve">La determinación de la </w:t>
      </w:r>
      <w:r w:rsidR="000A1782" w:rsidRPr="002839BD">
        <w:rPr>
          <w:rFonts w:ascii="Verdana" w:hAnsi="Verdana"/>
          <w:szCs w:val="20"/>
          <w:lang w:eastAsia="x-none"/>
        </w:rPr>
        <w:t xml:space="preserve">estructura </w:t>
      </w:r>
      <w:r w:rsidRPr="00DB15E9">
        <w:rPr>
          <w:rFonts w:ascii="Verdana" w:hAnsi="Verdana"/>
          <w:szCs w:val="20"/>
          <w:lang w:eastAsia="x-none"/>
        </w:rPr>
        <w:t xml:space="preserve">y organización </w:t>
      </w:r>
      <w:r w:rsidR="000A1782" w:rsidRPr="002839BD">
        <w:rPr>
          <w:rFonts w:ascii="Verdana" w:hAnsi="Verdana"/>
          <w:szCs w:val="20"/>
          <w:lang w:eastAsia="x-none"/>
        </w:rPr>
        <w:t xml:space="preserve">de la oficina judicial que asiste a los órganos judiciales incluidos dentro de </w:t>
      </w:r>
      <w:r w:rsidR="004F7158">
        <w:rPr>
          <w:rFonts w:ascii="Verdana" w:hAnsi="Verdana"/>
          <w:szCs w:val="20"/>
          <w:lang w:eastAsia="x-none"/>
        </w:rPr>
        <w:t xml:space="preserve">su ámbito de aplicación con la </w:t>
      </w:r>
      <w:r>
        <w:rPr>
          <w:rFonts w:ascii="Verdana" w:hAnsi="Verdana"/>
          <w:szCs w:val="20"/>
          <w:lang w:eastAsia="x-none"/>
        </w:rPr>
        <w:t xml:space="preserve">determinación </w:t>
      </w:r>
      <w:r w:rsidR="000A1782" w:rsidRPr="002839BD">
        <w:rPr>
          <w:rFonts w:ascii="Verdana" w:hAnsi="Verdana"/>
          <w:szCs w:val="20"/>
          <w:lang w:eastAsia="x-none"/>
        </w:rPr>
        <w:t>de los servicios comunes procesales.</w:t>
      </w:r>
    </w:p>
    <w:p w:rsidR="003F40B3" w:rsidRDefault="003F40B3" w:rsidP="00DB15E9">
      <w:pPr>
        <w:jc w:val="both"/>
        <w:rPr>
          <w:rFonts w:ascii="Arial" w:hAnsi="Arial"/>
          <w:i/>
          <w:color w:val="000080"/>
          <w:szCs w:val="20"/>
          <w:lang w:eastAsia="x-none"/>
        </w:rPr>
      </w:pPr>
    </w:p>
    <w:p w:rsidR="003F40B3" w:rsidRDefault="000A1782" w:rsidP="003F40B3">
      <w:pPr>
        <w:ind w:left="709"/>
        <w:jc w:val="both"/>
        <w:rPr>
          <w:rFonts w:ascii="Verdana" w:hAnsi="Verdana"/>
          <w:b/>
          <w:i/>
          <w:szCs w:val="20"/>
          <w:lang w:eastAsia="x-none"/>
        </w:rPr>
      </w:pPr>
      <w:r w:rsidRPr="003F40B3">
        <w:rPr>
          <w:rFonts w:ascii="Verdana" w:hAnsi="Verdana"/>
          <w:b/>
          <w:i/>
          <w:szCs w:val="20"/>
          <w:lang w:eastAsia="x-none"/>
        </w:rPr>
        <w:t>Artículo 2. Ámbito de aplicación</w:t>
      </w:r>
    </w:p>
    <w:p w:rsidR="003F40B3" w:rsidRDefault="003F40B3" w:rsidP="003F40B3">
      <w:pPr>
        <w:ind w:left="709"/>
        <w:jc w:val="both"/>
        <w:rPr>
          <w:rFonts w:ascii="Verdana" w:hAnsi="Verdana"/>
          <w:b/>
          <w:i/>
          <w:szCs w:val="20"/>
          <w:lang w:eastAsia="x-none"/>
        </w:rPr>
      </w:pPr>
    </w:p>
    <w:p w:rsidR="003F40B3" w:rsidRDefault="000A1782" w:rsidP="003F40B3">
      <w:pPr>
        <w:ind w:left="284" w:firstLine="425"/>
        <w:jc w:val="both"/>
        <w:rPr>
          <w:rFonts w:ascii="Verdana" w:hAnsi="Verdana"/>
          <w:b/>
          <w:i/>
          <w:szCs w:val="20"/>
          <w:lang w:eastAsia="x-none"/>
        </w:rPr>
      </w:pPr>
      <w:r w:rsidRPr="003F40B3">
        <w:rPr>
          <w:rFonts w:ascii="Verdana" w:hAnsi="Verdana"/>
          <w:szCs w:val="20"/>
          <w:lang w:eastAsia="x-none"/>
        </w:rPr>
        <w:t>La presente orden es de aplicación a</w:t>
      </w:r>
      <w:r w:rsidR="00E702E3">
        <w:rPr>
          <w:rFonts w:ascii="Verdana" w:hAnsi="Verdana"/>
          <w:szCs w:val="20"/>
          <w:lang w:eastAsia="x-none"/>
        </w:rPr>
        <w:t xml:space="preserve"> </w:t>
      </w:r>
      <w:r w:rsidR="00E702E3" w:rsidRPr="00DB15E9">
        <w:rPr>
          <w:rFonts w:ascii="Verdana" w:hAnsi="Verdana"/>
          <w:szCs w:val="20"/>
          <w:lang w:eastAsia="x-none"/>
        </w:rPr>
        <w:t>todos</w:t>
      </w:r>
      <w:r w:rsidRPr="00E702E3">
        <w:rPr>
          <w:rFonts w:ascii="Verdana" w:hAnsi="Verdana"/>
          <w:color w:val="FF0000"/>
          <w:szCs w:val="20"/>
          <w:lang w:eastAsia="x-none"/>
        </w:rPr>
        <w:t xml:space="preserve"> </w:t>
      </w:r>
      <w:r w:rsidRPr="003F40B3">
        <w:rPr>
          <w:rFonts w:ascii="Verdana" w:hAnsi="Verdana"/>
          <w:szCs w:val="20"/>
          <w:lang w:eastAsia="x-none"/>
        </w:rPr>
        <w:t>los órganos judiciales de los partidos judiciales cuya competencia en Administración de Justicia corres</w:t>
      </w:r>
      <w:r w:rsidR="003F40B3">
        <w:rPr>
          <w:rFonts w:ascii="Verdana" w:hAnsi="Verdana"/>
          <w:szCs w:val="20"/>
          <w:lang w:eastAsia="x-none"/>
        </w:rPr>
        <w:t>ponde al Ministerio de Justicia.</w:t>
      </w:r>
    </w:p>
    <w:p w:rsidR="003F40B3" w:rsidRDefault="003F40B3" w:rsidP="003F40B3">
      <w:pPr>
        <w:ind w:left="284" w:firstLine="425"/>
        <w:jc w:val="both"/>
        <w:rPr>
          <w:rFonts w:ascii="Verdana" w:hAnsi="Verdana"/>
          <w:b/>
          <w:i/>
          <w:szCs w:val="20"/>
          <w:lang w:eastAsia="x-none"/>
        </w:rPr>
      </w:pPr>
    </w:p>
    <w:p w:rsidR="000A1782" w:rsidRPr="003F40B3" w:rsidRDefault="000A1782" w:rsidP="003F40B3">
      <w:pPr>
        <w:ind w:left="284" w:firstLine="425"/>
        <w:jc w:val="both"/>
        <w:rPr>
          <w:rFonts w:ascii="Verdana" w:hAnsi="Verdana"/>
          <w:b/>
          <w:i/>
          <w:szCs w:val="20"/>
          <w:lang w:eastAsia="x-none"/>
        </w:rPr>
      </w:pPr>
      <w:r w:rsidRPr="003F40B3">
        <w:rPr>
          <w:rFonts w:ascii="Verdana" w:hAnsi="Verdana"/>
          <w:szCs w:val="20"/>
          <w:lang w:eastAsia="x-none"/>
        </w:rPr>
        <w:t xml:space="preserve">Los servicios comunes procesales relacionados en el </w:t>
      </w:r>
      <w:r w:rsidR="00DB15E9">
        <w:rPr>
          <w:rFonts w:ascii="Verdana" w:hAnsi="Verdana"/>
          <w:szCs w:val="20"/>
          <w:lang w:eastAsia="x-none"/>
        </w:rPr>
        <w:t>artículo 5</w:t>
      </w:r>
      <w:r w:rsidRPr="003F40B3">
        <w:rPr>
          <w:rFonts w:ascii="Verdana" w:hAnsi="Verdana"/>
          <w:szCs w:val="20"/>
          <w:lang w:eastAsia="x-none"/>
        </w:rPr>
        <w:t xml:space="preserve"> prestarán apoyo y extenderán su ámbito competencial a los órganos judiciales incluidos en el mismo.</w:t>
      </w:r>
    </w:p>
    <w:p w:rsidR="003F40B3" w:rsidRPr="003F40B3" w:rsidRDefault="003F40B3" w:rsidP="000A1782">
      <w:pPr>
        <w:ind w:left="709" w:firstLine="707"/>
        <w:jc w:val="both"/>
        <w:rPr>
          <w:rFonts w:ascii="Verdana" w:hAnsi="Verdana"/>
          <w:szCs w:val="20"/>
          <w:lang w:eastAsia="x-none"/>
        </w:rPr>
      </w:pPr>
    </w:p>
    <w:p w:rsidR="000A1782" w:rsidRPr="003F40B3" w:rsidRDefault="000A1782" w:rsidP="000A1782">
      <w:pPr>
        <w:ind w:left="709"/>
        <w:jc w:val="both"/>
        <w:rPr>
          <w:rFonts w:ascii="Verdana" w:hAnsi="Verdana"/>
          <w:szCs w:val="20"/>
          <w:lang w:eastAsia="x-none"/>
        </w:rPr>
      </w:pPr>
    </w:p>
    <w:p w:rsidR="003F40B3" w:rsidRPr="005B7709" w:rsidRDefault="000A1782" w:rsidP="003F40B3">
      <w:pPr>
        <w:ind w:left="709"/>
        <w:jc w:val="both"/>
        <w:rPr>
          <w:rFonts w:ascii="Verdana" w:hAnsi="Verdana"/>
          <w:b/>
          <w:szCs w:val="20"/>
          <w:lang w:eastAsia="x-none"/>
        </w:rPr>
      </w:pPr>
      <w:r w:rsidRPr="003F40B3">
        <w:rPr>
          <w:rFonts w:ascii="Verdana" w:hAnsi="Verdana"/>
          <w:b/>
          <w:i/>
          <w:szCs w:val="20"/>
          <w:lang w:eastAsia="x-none"/>
        </w:rPr>
        <w:t xml:space="preserve">Artículo 3. </w:t>
      </w:r>
      <w:r w:rsidR="00DB15E9">
        <w:rPr>
          <w:rFonts w:ascii="Verdana" w:hAnsi="Verdana"/>
          <w:b/>
          <w:szCs w:val="20"/>
          <w:lang w:eastAsia="x-none"/>
        </w:rPr>
        <w:t>D</w:t>
      </w:r>
      <w:r w:rsidR="005B7709">
        <w:rPr>
          <w:rFonts w:ascii="Verdana" w:hAnsi="Verdana"/>
          <w:b/>
          <w:szCs w:val="20"/>
          <w:lang w:eastAsia="x-none"/>
        </w:rPr>
        <w:t>e la oficina judicial.</w:t>
      </w:r>
    </w:p>
    <w:p w:rsidR="005B7709" w:rsidRDefault="005B7709" w:rsidP="003F40B3">
      <w:pPr>
        <w:ind w:left="709"/>
        <w:jc w:val="both"/>
        <w:rPr>
          <w:rFonts w:ascii="Verdana" w:hAnsi="Verdana"/>
          <w:b/>
          <w:i/>
          <w:szCs w:val="20"/>
          <w:lang w:eastAsia="x-none"/>
        </w:rPr>
      </w:pPr>
    </w:p>
    <w:p w:rsidR="005B7709" w:rsidRDefault="005B7709" w:rsidP="005B7709">
      <w:pPr>
        <w:ind w:left="709" w:firstLine="707"/>
        <w:jc w:val="both"/>
        <w:rPr>
          <w:rFonts w:ascii="Verdana" w:hAnsi="Verdana"/>
          <w:szCs w:val="20"/>
          <w:lang w:eastAsia="x-none"/>
        </w:rPr>
      </w:pPr>
      <w:r w:rsidRPr="005B7709">
        <w:rPr>
          <w:rFonts w:ascii="Verdana" w:hAnsi="Verdana"/>
          <w:szCs w:val="20"/>
          <w:lang w:eastAsia="x-none"/>
        </w:rPr>
        <w:t>El elemento organizativo básico de la estructura de la Oficina judicial será la unidad, que comprenderá los puestos de trabajo de la misma, vinculados funcionalmente por razón de sus cometidos.</w:t>
      </w:r>
    </w:p>
    <w:p w:rsidR="005B7709" w:rsidRPr="005B7709" w:rsidRDefault="005B7709" w:rsidP="005B7709">
      <w:pPr>
        <w:ind w:left="709" w:firstLine="707"/>
        <w:jc w:val="both"/>
        <w:rPr>
          <w:rFonts w:ascii="Verdana" w:hAnsi="Verdana"/>
          <w:szCs w:val="20"/>
          <w:lang w:eastAsia="x-none"/>
        </w:rPr>
      </w:pPr>
      <w:r w:rsidRPr="005B7709">
        <w:rPr>
          <w:rFonts w:ascii="Verdana" w:hAnsi="Verdana"/>
          <w:szCs w:val="20"/>
          <w:lang w:eastAsia="x-none"/>
        </w:rPr>
        <w:t>En atención a sus funciones se distinguirán dos tipos de unidades: unidades procesales de apoyo directo y servicios comunes procesales</w:t>
      </w:r>
    </w:p>
    <w:p w:rsidR="003F40B3" w:rsidRDefault="003F40B3" w:rsidP="003F40B3">
      <w:pPr>
        <w:ind w:left="709"/>
        <w:jc w:val="both"/>
        <w:rPr>
          <w:rFonts w:ascii="Verdana" w:hAnsi="Verdana"/>
          <w:b/>
          <w:i/>
          <w:szCs w:val="20"/>
          <w:lang w:eastAsia="x-none"/>
        </w:rPr>
      </w:pPr>
    </w:p>
    <w:p w:rsidR="003F40B3" w:rsidRDefault="003F40B3" w:rsidP="000A1782">
      <w:pPr>
        <w:ind w:left="709"/>
        <w:jc w:val="both"/>
        <w:rPr>
          <w:rFonts w:ascii="Verdana" w:hAnsi="Verdana"/>
          <w:i/>
          <w:szCs w:val="20"/>
          <w:lang w:eastAsia="x-none"/>
        </w:rPr>
      </w:pPr>
    </w:p>
    <w:p w:rsidR="006F4C7B" w:rsidRPr="00DB15E9" w:rsidRDefault="000A1782" w:rsidP="00DB15E9">
      <w:pPr>
        <w:ind w:left="709"/>
        <w:jc w:val="both"/>
        <w:rPr>
          <w:rFonts w:ascii="Verdana" w:hAnsi="Verdana"/>
          <w:b/>
          <w:i/>
          <w:szCs w:val="20"/>
          <w:lang w:eastAsia="x-none"/>
        </w:rPr>
      </w:pPr>
      <w:r w:rsidRPr="003F40B3">
        <w:rPr>
          <w:rFonts w:ascii="Verdana" w:hAnsi="Verdana"/>
          <w:b/>
          <w:i/>
          <w:szCs w:val="20"/>
          <w:lang w:eastAsia="x-none"/>
        </w:rPr>
        <w:t xml:space="preserve">Artículo 4.  </w:t>
      </w:r>
      <w:r w:rsidR="004A248E">
        <w:rPr>
          <w:rFonts w:ascii="Verdana" w:hAnsi="Verdana"/>
          <w:b/>
          <w:i/>
          <w:szCs w:val="20"/>
          <w:lang w:eastAsia="x-none"/>
        </w:rPr>
        <w:t>Las unidades procesales de apoyo directo.</w:t>
      </w:r>
    </w:p>
    <w:p w:rsidR="006F4C7B" w:rsidRDefault="006F4C7B" w:rsidP="006F4C7B">
      <w:pPr>
        <w:pStyle w:val="Prrafodelista"/>
        <w:ind w:left="1069"/>
        <w:jc w:val="both"/>
        <w:rPr>
          <w:rFonts w:ascii="Verdana" w:hAnsi="Verdana"/>
          <w:b/>
          <w:i/>
          <w:szCs w:val="20"/>
          <w:lang w:eastAsia="x-none"/>
        </w:rPr>
      </w:pPr>
    </w:p>
    <w:p w:rsidR="006F4C7B" w:rsidRDefault="000A1782" w:rsidP="006F4C7B">
      <w:pPr>
        <w:pStyle w:val="Prrafodelista"/>
        <w:ind w:left="284" w:firstLine="425"/>
        <w:jc w:val="both"/>
        <w:rPr>
          <w:rFonts w:ascii="Verdana" w:eastAsia="Times New Roman" w:hAnsi="Verdana"/>
          <w:szCs w:val="20"/>
          <w:lang w:eastAsia="x-none"/>
        </w:rPr>
      </w:pPr>
      <w:r w:rsidRPr="006F4C7B">
        <w:rPr>
          <w:rFonts w:ascii="Verdana" w:eastAsia="Times New Roman" w:hAnsi="Verdana"/>
          <w:szCs w:val="20"/>
          <w:lang w:eastAsia="x-none"/>
        </w:rPr>
        <w:t>Habrá tantas unidades procesales de apoyo directo como juzgados, o en su caso, salas o secciones de tribunales</w:t>
      </w:r>
      <w:r w:rsidR="005B7709">
        <w:rPr>
          <w:rFonts w:ascii="Verdana" w:eastAsia="Times New Roman" w:hAnsi="Verdana"/>
          <w:szCs w:val="20"/>
          <w:lang w:eastAsia="x-none"/>
        </w:rPr>
        <w:t xml:space="preserve"> que</w:t>
      </w:r>
      <w:r w:rsidRPr="006F4C7B">
        <w:rPr>
          <w:rFonts w:ascii="Verdana" w:eastAsia="Times New Roman" w:hAnsi="Verdana"/>
          <w:szCs w:val="20"/>
          <w:lang w:eastAsia="x-none"/>
        </w:rPr>
        <w:t xml:space="preserve"> estén en funcionamiento. </w:t>
      </w:r>
      <w:r w:rsidR="004A248E">
        <w:rPr>
          <w:rFonts w:ascii="Verdana" w:eastAsia="Times New Roman" w:hAnsi="Verdana"/>
          <w:szCs w:val="20"/>
          <w:lang w:eastAsia="x-none"/>
        </w:rPr>
        <w:t xml:space="preserve">Estas unidades de la oficina judicial </w:t>
      </w:r>
      <w:r w:rsidR="003B6B8C">
        <w:rPr>
          <w:rFonts w:ascii="Verdana" w:eastAsia="Times New Roman" w:hAnsi="Verdana"/>
          <w:szCs w:val="20"/>
          <w:lang w:eastAsia="x-none"/>
        </w:rPr>
        <w:t>que asisten directamente a los jueces y magistrados en el ejercicio de sus funciones jurisdiccionales desarrollaran toda la actividad procesal no atribuida a los servicios comunes procesales.</w:t>
      </w:r>
    </w:p>
    <w:p w:rsidR="006F4C7B" w:rsidRDefault="006F4C7B" w:rsidP="006F4C7B">
      <w:pPr>
        <w:pStyle w:val="Prrafodelista"/>
        <w:ind w:left="284" w:firstLine="425"/>
        <w:jc w:val="both"/>
        <w:rPr>
          <w:rFonts w:ascii="Verdana" w:eastAsia="Times New Roman" w:hAnsi="Verdana"/>
          <w:szCs w:val="20"/>
          <w:lang w:eastAsia="x-none"/>
        </w:rPr>
      </w:pPr>
    </w:p>
    <w:p w:rsidR="003B6B8C" w:rsidRDefault="003B6B8C" w:rsidP="006F4C7B">
      <w:pPr>
        <w:pStyle w:val="Prrafodelista"/>
        <w:ind w:left="284" w:firstLine="425"/>
        <w:jc w:val="both"/>
        <w:rPr>
          <w:rFonts w:ascii="Verdana" w:eastAsia="Times New Roman" w:hAnsi="Verdana"/>
          <w:szCs w:val="20"/>
          <w:lang w:eastAsia="x-none"/>
        </w:rPr>
      </w:pPr>
    </w:p>
    <w:p w:rsidR="006F4C7B" w:rsidRDefault="00655086" w:rsidP="006F4C7B">
      <w:pPr>
        <w:pStyle w:val="Prrafodelista"/>
        <w:ind w:left="284" w:firstLine="425"/>
        <w:jc w:val="both"/>
        <w:rPr>
          <w:rFonts w:ascii="Verdana" w:eastAsia="Times New Roman" w:hAnsi="Verdana"/>
          <w:szCs w:val="20"/>
          <w:lang w:eastAsia="x-none"/>
        </w:rPr>
      </w:pPr>
      <w:r>
        <w:rPr>
          <w:rFonts w:ascii="Verdana" w:eastAsia="Times New Roman" w:hAnsi="Verdana"/>
          <w:szCs w:val="20"/>
          <w:lang w:eastAsia="x-none"/>
        </w:rPr>
        <w:t xml:space="preserve">Para </w:t>
      </w:r>
      <w:r w:rsidR="000A1782" w:rsidRPr="00C3333E">
        <w:rPr>
          <w:rFonts w:ascii="Verdana" w:eastAsia="Times New Roman" w:hAnsi="Verdana"/>
          <w:szCs w:val="20"/>
          <w:lang w:eastAsia="x-none"/>
        </w:rPr>
        <w:t xml:space="preserve">los partidos judiciales </w:t>
      </w:r>
      <w:r w:rsidR="003B6B8C" w:rsidRPr="00C3333E">
        <w:rPr>
          <w:rFonts w:ascii="Verdana" w:eastAsia="Times New Roman" w:hAnsi="Verdana"/>
          <w:szCs w:val="20"/>
          <w:lang w:eastAsia="x-none"/>
        </w:rPr>
        <w:t>que están dotados con un único órgano judicial</w:t>
      </w:r>
      <w:r w:rsidR="000A1782" w:rsidRPr="00C3333E">
        <w:rPr>
          <w:rFonts w:ascii="Verdana" w:eastAsia="Times New Roman" w:hAnsi="Verdana"/>
          <w:szCs w:val="20"/>
          <w:lang w:eastAsia="x-none"/>
        </w:rPr>
        <w:t xml:space="preserve"> se establece </w:t>
      </w:r>
      <w:r w:rsidR="003B6B8C" w:rsidRPr="00C3333E">
        <w:rPr>
          <w:rFonts w:ascii="Verdana" w:eastAsia="Times New Roman" w:hAnsi="Verdana"/>
          <w:szCs w:val="20"/>
          <w:lang w:eastAsia="x-none"/>
        </w:rPr>
        <w:t xml:space="preserve">un modelo de oficina judicial que está </w:t>
      </w:r>
      <w:r w:rsidR="00C7537B" w:rsidRPr="00C3333E">
        <w:rPr>
          <w:rFonts w:ascii="Verdana" w:eastAsia="Times New Roman" w:hAnsi="Verdana"/>
          <w:szCs w:val="20"/>
          <w:lang w:eastAsia="x-none"/>
        </w:rPr>
        <w:t>integrado</w:t>
      </w:r>
      <w:r w:rsidR="003B6B8C" w:rsidRPr="00C3333E">
        <w:rPr>
          <w:rFonts w:ascii="Verdana" w:eastAsia="Times New Roman" w:hAnsi="Verdana"/>
          <w:szCs w:val="20"/>
          <w:lang w:eastAsia="x-none"/>
        </w:rPr>
        <w:t xml:space="preserve"> por </w:t>
      </w:r>
      <w:r w:rsidR="000A1782" w:rsidRPr="00C3333E">
        <w:rPr>
          <w:rFonts w:ascii="Verdana" w:eastAsia="Times New Roman" w:hAnsi="Verdana"/>
          <w:szCs w:val="20"/>
          <w:lang w:eastAsia="x-none"/>
        </w:rPr>
        <w:t>una</w:t>
      </w:r>
      <w:r w:rsidR="003B6B8C" w:rsidRPr="00C3333E">
        <w:rPr>
          <w:rFonts w:ascii="Verdana" w:eastAsia="Times New Roman" w:hAnsi="Verdana"/>
          <w:szCs w:val="20"/>
          <w:lang w:eastAsia="x-none"/>
        </w:rPr>
        <w:t xml:space="preserve"> unidad p</w:t>
      </w:r>
      <w:r w:rsidR="000A1782" w:rsidRPr="00C3333E">
        <w:rPr>
          <w:rFonts w:ascii="Verdana" w:eastAsia="Times New Roman" w:hAnsi="Verdana"/>
          <w:szCs w:val="20"/>
          <w:lang w:eastAsia="x-none"/>
        </w:rPr>
        <w:t>rocesal de apoyo directo que asumirá íntegramente las funciones procesales que le son propias</w:t>
      </w:r>
      <w:r w:rsidR="00640203">
        <w:rPr>
          <w:rFonts w:ascii="Verdana" w:eastAsia="Times New Roman" w:hAnsi="Verdana"/>
          <w:szCs w:val="20"/>
          <w:lang w:eastAsia="x-none"/>
        </w:rPr>
        <w:t xml:space="preserve">. </w:t>
      </w:r>
      <w:r w:rsidR="00C27659" w:rsidRPr="00C27659">
        <w:rPr>
          <w:rFonts w:ascii="Verdana" w:eastAsia="Times New Roman" w:hAnsi="Verdana"/>
          <w:szCs w:val="20"/>
          <w:lang w:eastAsia="x-none"/>
        </w:rPr>
        <w:t>(</w:t>
      </w:r>
      <w:r w:rsidR="00C27659">
        <w:rPr>
          <w:rFonts w:ascii="Verdana" w:eastAsia="Times New Roman" w:hAnsi="Verdana"/>
          <w:szCs w:val="20"/>
          <w:lang w:eastAsia="x-none"/>
        </w:rPr>
        <w:t xml:space="preserve">Modelo I del Anexo) </w:t>
      </w:r>
    </w:p>
    <w:p w:rsidR="003B6B8C" w:rsidRPr="00640203" w:rsidRDefault="003B6B8C" w:rsidP="00640203">
      <w:pPr>
        <w:jc w:val="both"/>
        <w:rPr>
          <w:rFonts w:ascii="Verdana" w:hAnsi="Verdana"/>
          <w:szCs w:val="20"/>
          <w:lang w:eastAsia="x-none"/>
        </w:rPr>
      </w:pPr>
    </w:p>
    <w:p w:rsidR="006F4C7B" w:rsidRDefault="006F4C7B" w:rsidP="006F4C7B">
      <w:pPr>
        <w:pStyle w:val="Prrafodelista"/>
        <w:ind w:left="284" w:firstLine="425"/>
        <w:jc w:val="both"/>
        <w:rPr>
          <w:rFonts w:ascii="Verdana" w:hAnsi="Verdana"/>
          <w:szCs w:val="20"/>
          <w:lang w:eastAsia="x-none"/>
        </w:rPr>
      </w:pPr>
    </w:p>
    <w:p w:rsidR="006F4C7B" w:rsidRPr="00C3333E" w:rsidRDefault="003B6B8C" w:rsidP="00C3333E">
      <w:pPr>
        <w:pStyle w:val="Prrafodelista"/>
        <w:ind w:left="284" w:firstLine="425"/>
        <w:jc w:val="both"/>
        <w:rPr>
          <w:rFonts w:ascii="Verdana" w:hAnsi="Verdana"/>
          <w:b/>
          <w:szCs w:val="20"/>
          <w:lang w:eastAsia="x-none"/>
        </w:rPr>
      </w:pPr>
      <w:r w:rsidRPr="0045324F">
        <w:rPr>
          <w:rFonts w:ascii="Verdana" w:hAnsi="Verdana"/>
          <w:b/>
          <w:szCs w:val="20"/>
          <w:lang w:eastAsia="x-none"/>
        </w:rPr>
        <w:t>Artículo 5. Servicios comunes procesales.</w:t>
      </w:r>
    </w:p>
    <w:p w:rsidR="006F4C7B" w:rsidRPr="00C3333E" w:rsidRDefault="006F4C7B" w:rsidP="00C3333E">
      <w:pPr>
        <w:jc w:val="both"/>
        <w:rPr>
          <w:rFonts w:ascii="Verdana" w:hAnsi="Verdana"/>
          <w:szCs w:val="20"/>
          <w:lang w:eastAsia="x-none"/>
        </w:rPr>
      </w:pPr>
    </w:p>
    <w:p w:rsidR="00C7537B" w:rsidRPr="00C3333E" w:rsidRDefault="00006334" w:rsidP="00C7537B">
      <w:pPr>
        <w:ind w:firstLine="708"/>
        <w:jc w:val="both"/>
        <w:rPr>
          <w:rFonts w:ascii="Verdana" w:hAnsi="Verdana"/>
          <w:szCs w:val="20"/>
          <w:lang w:eastAsia="x-none"/>
        </w:rPr>
      </w:pPr>
      <w:r w:rsidRPr="00C3333E">
        <w:rPr>
          <w:rFonts w:ascii="Verdana" w:hAnsi="Verdana"/>
          <w:szCs w:val="20"/>
          <w:lang w:eastAsia="x-none"/>
        </w:rPr>
        <w:t xml:space="preserve">Los </w:t>
      </w:r>
      <w:r w:rsidR="00C7537B" w:rsidRPr="00C3333E">
        <w:rPr>
          <w:rFonts w:ascii="Verdana" w:hAnsi="Verdana"/>
          <w:szCs w:val="20"/>
          <w:lang w:eastAsia="x-none"/>
        </w:rPr>
        <w:t>servicio</w:t>
      </w:r>
      <w:r w:rsidRPr="00C3333E">
        <w:rPr>
          <w:rFonts w:ascii="Verdana" w:hAnsi="Verdana"/>
          <w:szCs w:val="20"/>
          <w:lang w:eastAsia="x-none"/>
        </w:rPr>
        <w:t>s</w:t>
      </w:r>
      <w:r w:rsidR="00C7537B" w:rsidRPr="00C3333E">
        <w:rPr>
          <w:rFonts w:ascii="Verdana" w:hAnsi="Verdana"/>
          <w:szCs w:val="20"/>
          <w:lang w:eastAsia="x-none"/>
        </w:rPr>
        <w:t xml:space="preserve"> comunes procesales, son aquellas unidades de la Oficina </w:t>
      </w:r>
      <w:r w:rsidRPr="00C3333E">
        <w:rPr>
          <w:rFonts w:ascii="Verdana" w:hAnsi="Verdana"/>
          <w:szCs w:val="20"/>
          <w:lang w:eastAsia="x-none"/>
        </w:rPr>
        <w:t>judicial que, sin estar integrados</w:t>
      </w:r>
      <w:r w:rsidR="00C7537B" w:rsidRPr="00C3333E">
        <w:rPr>
          <w:rFonts w:ascii="Verdana" w:hAnsi="Verdana"/>
          <w:szCs w:val="20"/>
          <w:lang w:eastAsia="x-none"/>
        </w:rPr>
        <w:t xml:space="preserve"> en un órgano judicial concreto, asume</w:t>
      </w:r>
      <w:r w:rsidRPr="00C3333E">
        <w:rPr>
          <w:rFonts w:ascii="Verdana" w:hAnsi="Verdana"/>
          <w:szCs w:val="20"/>
          <w:lang w:eastAsia="x-none"/>
        </w:rPr>
        <w:t>n</w:t>
      </w:r>
      <w:r w:rsidR="00C7537B" w:rsidRPr="00C3333E">
        <w:rPr>
          <w:rFonts w:ascii="Verdana" w:hAnsi="Verdana"/>
          <w:szCs w:val="20"/>
          <w:lang w:eastAsia="x-none"/>
        </w:rPr>
        <w:t xml:space="preserve"> labores centralizadas de gestión y apoyo en actuaciones derivadas de la aplicación de las leyes procesales.</w:t>
      </w:r>
    </w:p>
    <w:p w:rsidR="00006334" w:rsidRDefault="00006334" w:rsidP="00C7537B">
      <w:pPr>
        <w:ind w:firstLine="708"/>
        <w:jc w:val="both"/>
        <w:rPr>
          <w:rFonts w:ascii="Verdana" w:hAnsi="Verdana"/>
          <w:szCs w:val="20"/>
          <w:lang w:eastAsia="x-none"/>
        </w:rPr>
      </w:pPr>
    </w:p>
    <w:p w:rsidR="00C7537B" w:rsidRPr="00C7537B" w:rsidRDefault="00C7537B" w:rsidP="00C7537B">
      <w:pPr>
        <w:ind w:firstLine="708"/>
        <w:jc w:val="both"/>
        <w:rPr>
          <w:rFonts w:ascii="Verdana" w:hAnsi="Verdana"/>
          <w:szCs w:val="20"/>
          <w:lang w:eastAsia="x-none"/>
        </w:rPr>
      </w:pPr>
    </w:p>
    <w:p w:rsidR="000A1782" w:rsidRPr="00C3333E" w:rsidRDefault="00C3333E" w:rsidP="006F4C7B">
      <w:pPr>
        <w:pStyle w:val="Prrafodelista"/>
        <w:ind w:left="1069" w:hanging="360"/>
        <w:jc w:val="both"/>
        <w:rPr>
          <w:rFonts w:ascii="Verdana" w:hAnsi="Verdana"/>
          <w:b/>
          <w:i/>
          <w:strike/>
          <w:szCs w:val="20"/>
          <w:lang w:eastAsia="x-none"/>
        </w:rPr>
      </w:pPr>
      <w:r>
        <w:rPr>
          <w:rFonts w:ascii="Verdana" w:eastAsia="Times New Roman" w:hAnsi="Verdana"/>
          <w:color w:val="FF0000"/>
          <w:szCs w:val="20"/>
          <w:lang w:val="es-ES" w:eastAsia="x-none"/>
        </w:rPr>
        <w:t xml:space="preserve">    </w:t>
      </w:r>
      <w:r w:rsidR="003622FF" w:rsidRPr="00C3333E">
        <w:rPr>
          <w:rFonts w:ascii="Verdana" w:eastAsia="Times New Roman" w:hAnsi="Verdana"/>
          <w:szCs w:val="20"/>
          <w:lang w:eastAsia="x-none"/>
        </w:rPr>
        <w:t xml:space="preserve">Se definen </w:t>
      </w:r>
      <w:r w:rsidR="000A1782" w:rsidRPr="00C3333E">
        <w:rPr>
          <w:rFonts w:ascii="Verdana" w:eastAsia="Times New Roman" w:hAnsi="Verdana"/>
          <w:szCs w:val="20"/>
          <w:lang w:eastAsia="x-none"/>
        </w:rPr>
        <w:t>tres tipos de organización que</w:t>
      </w:r>
      <w:r w:rsidR="003622FF" w:rsidRPr="00C3333E">
        <w:rPr>
          <w:rFonts w:ascii="Verdana" w:eastAsia="Times New Roman" w:hAnsi="Verdana"/>
          <w:szCs w:val="20"/>
          <w:lang w:eastAsia="x-none"/>
        </w:rPr>
        <w:t xml:space="preserve"> se</w:t>
      </w:r>
      <w:r w:rsidR="000A1782" w:rsidRPr="00C3333E">
        <w:rPr>
          <w:rFonts w:ascii="Verdana" w:eastAsia="Times New Roman" w:hAnsi="Verdana"/>
          <w:szCs w:val="20"/>
          <w:lang w:eastAsia="x-none"/>
        </w:rPr>
        <w:t xml:space="preserve"> corresponde</w:t>
      </w:r>
      <w:r w:rsidR="003622FF" w:rsidRPr="00C3333E">
        <w:rPr>
          <w:rFonts w:ascii="Verdana" w:eastAsia="Times New Roman" w:hAnsi="Verdana"/>
          <w:szCs w:val="20"/>
          <w:lang w:eastAsia="x-none"/>
        </w:rPr>
        <w:t xml:space="preserve">n </w:t>
      </w:r>
      <w:r w:rsidRPr="00C3333E">
        <w:rPr>
          <w:rFonts w:ascii="Verdana" w:eastAsia="Times New Roman" w:hAnsi="Verdana"/>
          <w:szCs w:val="20"/>
          <w:lang w:eastAsia="x-none"/>
        </w:rPr>
        <w:t xml:space="preserve">con los siguientes </w:t>
      </w:r>
      <w:r w:rsidR="003622FF" w:rsidRPr="00C3333E">
        <w:rPr>
          <w:rFonts w:ascii="Verdana" w:eastAsia="Times New Roman" w:hAnsi="Verdana"/>
          <w:szCs w:val="20"/>
          <w:lang w:eastAsia="x-none"/>
        </w:rPr>
        <w:t>modelos</w:t>
      </w:r>
      <w:r w:rsidRPr="00C3333E">
        <w:rPr>
          <w:rFonts w:ascii="Verdana" w:eastAsia="Times New Roman" w:hAnsi="Verdana"/>
          <w:szCs w:val="20"/>
          <w:lang w:eastAsia="x-none"/>
        </w:rPr>
        <w:t>:</w:t>
      </w:r>
    </w:p>
    <w:p w:rsidR="003F40B3" w:rsidRDefault="003F40B3" w:rsidP="000A1782">
      <w:pPr>
        <w:ind w:left="709" w:firstLine="707"/>
        <w:jc w:val="both"/>
        <w:rPr>
          <w:rFonts w:ascii="Verdana" w:hAnsi="Verdana"/>
          <w:szCs w:val="20"/>
          <w:lang w:eastAsia="x-none"/>
        </w:rPr>
      </w:pPr>
    </w:p>
    <w:p w:rsidR="000A1782" w:rsidRPr="003F40B3" w:rsidRDefault="00C27659" w:rsidP="003F40B3">
      <w:pPr>
        <w:pStyle w:val="Prrafodelista"/>
        <w:numPr>
          <w:ilvl w:val="0"/>
          <w:numId w:val="2"/>
        </w:numPr>
        <w:jc w:val="both"/>
        <w:rPr>
          <w:rFonts w:ascii="Verdana" w:hAnsi="Verdana"/>
          <w:szCs w:val="20"/>
          <w:lang w:eastAsia="x-none"/>
        </w:rPr>
      </w:pPr>
      <w:r>
        <w:rPr>
          <w:rFonts w:ascii="Verdana" w:eastAsia="Times New Roman" w:hAnsi="Verdana"/>
          <w:szCs w:val="20"/>
          <w:lang w:eastAsia="x-none"/>
        </w:rPr>
        <w:t>Los p</w:t>
      </w:r>
      <w:r w:rsidR="00CA4EDB">
        <w:rPr>
          <w:rFonts w:ascii="Verdana" w:eastAsia="Times New Roman" w:hAnsi="Verdana"/>
          <w:szCs w:val="20"/>
          <w:lang w:eastAsia="x-none"/>
        </w:rPr>
        <w:t>artidos</w:t>
      </w:r>
      <w:r w:rsidR="000A1782" w:rsidRPr="003F40B3">
        <w:rPr>
          <w:rFonts w:ascii="Verdana" w:eastAsia="Times New Roman" w:hAnsi="Verdana"/>
          <w:szCs w:val="20"/>
          <w:lang w:eastAsia="x-none"/>
        </w:rPr>
        <w:t xml:space="preserve"> judiciales </w:t>
      </w:r>
      <w:r>
        <w:rPr>
          <w:rFonts w:ascii="Verdana" w:eastAsia="Times New Roman" w:hAnsi="Verdana"/>
          <w:szCs w:val="20"/>
          <w:lang w:eastAsia="x-none"/>
        </w:rPr>
        <w:t xml:space="preserve">referenciados como Modelo II del Anexo, </w:t>
      </w:r>
      <w:r w:rsidR="00CA4EDB">
        <w:rPr>
          <w:rFonts w:ascii="Verdana" w:eastAsia="Times New Roman" w:hAnsi="Verdana"/>
          <w:szCs w:val="20"/>
          <w:lang w:eastAsia="x-none"/>
        </w:rPr>
        <w:t xml:space="preserve">donde </w:t>
      </w:r>
      <w:r w:rsidR="000A1782" w:rsidRPr="003F40B3">
        <w:rPr>
          <w:rFonts w:ascii="Verdana" w:eastAsia="Times New Roman" w:hAnsi="Verdana"/>
          <w:szCs w:val="20"/>
          <w:lang w:eastAsia="x-none"/>
        </w:rPr>
        <w:t xml:space="preserve">se establece un </w:t>
      </w:r>
      <w:r w:rsidR="006F67EE">
        <w:rPr>
          <w:rFonts w:ascii="Verdana" w:eastAsia="Times New Roman" w:hAnsi="Verdana"/>
          <w:szCs w:val="20"/>
          <w:lang w:eastAsia="x-none"/>
        </w:rPr>
        <w:t>Servicio Común Procesal General</w:t>
      </w:r>
      <w:r w:rsidR="000A1782" w:rsidRPr="003F40B3">
        <w:rPr>
          <w:rFonts w:ascii="Verdana" w:eastAsia="Times New Roman" w:hAnsi="Verdana"/>
          <w:szCs w:val="20"/>
          <w:lang w:eastAsia="x-none"/>
        </w:rPr>
        <w:t xml:space="preserve"> </w:t>
      </w:r>
      <w:r w:rsidR="000A1782" w:rsidRPr="006F67EE">
        <w:rPr>
          <w:rFonts w:ascii="Verdana" w:eastAsia="Times New Roman" w:hAnsi="Verdana"/>
          <w:szCs w:val="20"/>
          <w:lang w:eastAsia="x-none"/>
        </w:rPr>
        <w:t xml:space="preserve">y </w:t>
      </w:r>
      <w:r w:rsidR="00CA4EDB">
        <w:rPr>
          <w:rFonts w:ascii="Verdana" w:eastAsia="Times New Roman" w:hAnsi="Verdana"/>
          <w:szCs w:val="20"/>
          <w:lang w:eastAsia="x-none"/>
        </w:rPr>
        <w:t>en los</w:t>
      </w:r>
      <w:r w:rsidR="00006334" w:rsidRPr="006F67EE">
        <w:rPr>
          <w:rFonts w:ascii="Verdana" w:eastAsia="Times New Roman" w:hAnsi="Verdana"/>
          <w:szCs w:val="20"/>
          <w:lang w:eastAsia="x-none"/>
        </w:rPr>
        <w:t xml:space="preserve"> </w:t>
      </w:r>
      <w:r w:rsidR="000A1782" w:rsidRPr="003F40B3">
        <w:rPr>
          <w:rFonts w:ascii="Verdana" w:eastAsia="Times New Roman" w:hAnsi="Verdana"/>
          <w:szCs w:val="20"/>
          <w:lang w:eastAsia="x-none"/>
        </w:rPr>
        <w:t>que se podrá configurar una sección que asuma la ejecución de los procedimientos.</w:t>
      </w:r>
    </w:p>
    <w:p w:rsidR="003F40B3" w:rsidRPr="003F40B3" w:rsidRDefault="003F40B3" w:rsidP="003F40B3">
      <w:pPr>
        <w:pStyle w:val="Prrafodelista"/>
        <w:ind w:left="1070"/>
        <w:jc w:val="both"/>
        <w:rPr>
          <w:rFonts w:ascii="Verdana" w:hAnsi="Verdana"/>
          <w:szCs w:val="20"/>
          <w:lang w:eastAsia="x-none"/>
        </w:rPr>
      </w:pPr>
    </w:p>
    <w:p w:rsidR="003F40B3" w:rsidRDefault="00C27659" w:rsidP="003F40B3">
      <w:pPr>
        <w:pStyle w:val="Prrafodelista"/>
        <w:numPr>
          <w:ilvl w:val="0"/>
          <w:numId w:val="2"/>
        </w:numPr>
        <w:jc w:val="both"/>
        <w:rPr>
          <w:rFonts w:ascii="Verdana" w:hAnsi="Verdana"/>
          <w:szCs w:val="20"/>
          <w:lang w:eastAsia="x-none"/>
        </w:rPr>
      </w:pPr>
      <w:r>
        <w:rPr>
          <w:rFonts w:ascii="Verdana" w:eastAsia="Times New Roman" w:hAnsi="Verdana"/>
          <w:szCs w:val="20"/>
          <w:lang w:eastAsia="x-none"/>
        </w:rPr>
        <w:t>Aquellos p</w:t>
      </w:r>
      <w:r w:rsidR="00CA4EDB">
        <w:rPr>
          <w:rFonts w:ascii="Verdana" w:eastAsia="Times New Roman" w:hAnsi="Verdana"/>
          <w:szCs w:val="20"/>
          <w:lang w:eastAsia="x-none"/>
        </w:rPr>
        <w:t xml:space="preserve">artidos judiciales donde </w:t>
      </w:r>
      <w:r w:rsidR="000A1782" w:rsidRPr="003F40B3">
        <w:rPr>
          <w:rFonts w:ascii="Verdana" w:eastAsia="Times New Roman" w:hAnsi="Verdana"/>
          <w:szCs w:val="20"/>
          <w:lang w:eastAsia="x-none"/>
        </w:rPr>
        <w:t xml:space="preserve">se </w:t>
      </w:r>
      <w:r w:rsidR="00CA4EDB">
        <w:rPr>
          <w:rFonts w:ascii="Verdana" w:eastAsia="Times New Roman" w:hAnsi="Verdana"/>
          <w:szCs w:val="20"/>
          <w:lang w:eastAsia="x-none"/>
        </w:rPr>
        <w:t>constituye</w:t>
      </w:r>
      <w:r w:rsidR="000A1782" w:rsidRPr="003F40B3">
        <w:rPr>
          <w:rFonts w:ascii="Verdana" w:eastAsia="Times New Roman" w:hAnsi="Verdana"/>
          <w:szCs w:val="20"/>
          <w:lang w:eastAsia="x-none"/>
        </w:rPr>
        <w:t xml:space="preserve"> un “Servicio Común Procesal General” y un “Servicio Común </w:t>
      </w:r>
      <w:r>
        <w:rPr>
          <w:rFonts w:ascii="Verdana" w:eastAsia="Times New Roman" w:hAnsi="Verdana"/>
          <w:szCs w:val="20"/>
          <w:lang w:eastAsia="x-none"/>
        </w:rPr>
        <w:t>Procesal de Ejecución”, incluidos como Modelo III del Anexo.</w:t>
      </w:r>
    </w:p>
    <w:p w:rsidR="003F40B3" w:rsidRPr="003F40B3" w:rsidRDefault="003F40B3" w:rsidP="003F40B3">
      <w:pPr>
        <w:pStyle w:val="Prrafodelista"/>
        <w:rPr>
          <w:rFonts w:ascii="Verdana" w:eastAsia="Times New Roman" w:hAnsi="Verdana"/>
          <w:szCs w:val="20"/>
          <w:lang w:eastAsia="x-none"/>
        </w:rPr>
      </w:pPr>
    </w:p>
    <w:p w:rsidR="006F4C7B" w:rsidRDefault="00C27659" w:rsidP="006F4C7B">
      <w:pPr>
        <w:pStyle w:val="Prrafodelista"/>
        <w:numPr>
          <w:ilvl w:val="0"/>
          <w:numId w:val="2"/>
        </w:numPr>
        <w:jc w:val="both"/>
        <w:rPr>
          <w:rFonts w:ascii="Verdana" w:hAnsi="Verdana"/>
          <w:szCs w:val="20"/>
          <w:lang w:eastAsia="x-none"/>
        </w:rPr>
      </w:pPr>
      <w:r>
        <w:rPr>
          <w:rFonts w:ascii="Verdana" w:eastAsia="Times New Roman" w:hAnsi="Verdana"/>
          <w:szCs w:val="20"/>
          <w:lang w:eastAsia="x-none"/>
        </w:rPr>
        <w:t>Los p</w:t>
      </w:r>
      <w:r w:rsidR="00CA4EDB">
        <w:rPr>
          <w:rFonts w:ascii="Verdana" w:eastAsia="Times New Roman" w:hAnsi="Verdana"/>
          <w:szCs w:val="20"/>
          <w:lang w:eastAsia="x-none"/>
        </w:rPr>
        <w:t xml:space="preserve">artidos </w:t>
      </w:r>
      <w:r w:rsidR="000A1782" w:rsidRPr="003F40B3">
        <w:rPr>
          <w:rFonts w:ascii="Verdana" w:eastAsia="Times New Roman" w:hAnsi="Verdana"/>
          <w:szCs w:val="20"/>
          <w:lang w:eastAsia="x-none"/>
        </w:rPr>
        <w:t xml:space="preserve">judiciales </w:t>
      </w:r>
      <w:r w:rsidR="00CA4EDB">
        <w:rPr>
          <w:rFonts w:ascii="Verdana" w:eastAsia="Times New Roman" w:hAnsi="Verdana"/>
          <w:szCs w:val="20"/>
          <w:lang w:eastAsia="x-none"/>
        </w:rPr>
        <w:t>donde</w:t>
      </w:r>
      <w:r w:rsidR="000A1782" w:rsidRPr="003F40B3">
        <w:rPr>
          <w:rFonts w:ascii="Verdana" w:eastAsia="Times New Roman" w:hAnsi="Verdana"/>
          <w:szCs w:val="20"/>
          <w:lang w:eastAsia="x-none"/>
        </w:rPr>
        <w:t xml:space="preserve"> se </w:t>
      </w:r>
      <w:r w:rsidR="00CA4EDB">
        <w:rPr>
          <w:rFonts w:ascii="Verdana" w:eastAsia="Times New Roman" w:hAnsi="Verdana"/>
          <w:szCs w:val="20"/>
          <w:lang w:eastAsia="x-none"/>
        </w:rPr>
        <w:t xml:space="preserve">implantan </w:t>
      </w:r>
      <w:r w:rsidR="000A1782" w:rsidRPr="003F40B3">
        <w:rPr>
          <w:rFonts w:ascii="Verdana" w:eastAsia="Times New Roman" w:hAnsi="Verdana"/>
          <w:szCs w:val="20"/>
          <w:lang w:eastAsia="x-none"/>
        </w:rPr>
        <w:t>un “Servicio Común Procesal General”, un “Servicio Común Procesal de Ordenación del Procedimiento” y un “Servicio Común Procesal de Ejecución”</w:t>
      </w:r>
      <w:r>
        <w:rPr>
          <w:rFonts w:ascii="Verdana" w:eastAsia="Times New Roman" w:hAnsi="Verdana"/>
          <w:szCs w:val="20"/>
          <w:lang w:eastAsia="x-none"/>
        </w:rPr>
        <w:t>, referenciados como Modelo IV del Anexo.</w:t>
      </w:r>
      <w:r w:rsidR="000A1782" w:rsidRPr="003F40B3">
        <w:rPr>
          <w:rFonts w:ascii="Verdana" w:eastAsia="Times New Roman" w:hAnsi="Verdana"/>
          <w:szCs w:val="20"/>
          <w:lang w:eastAsia="x-none"/>
        </w:rPr>
        <w:t xml:space="preserve"> </w:t>
      </w:r>
    </w:p>
    <w:p w:rsidR="006F4C7B" w:rsidRPr="006F4C7B" w:rsidRDefault="006F4C7B" w:rsidP="006F4C7B">
      <w:pPr>
        <w:pStyle w:val="Prrafodelista"/>
        <w:rPr>
          <w:rFonts w:ascii="Verdana" w:eastAsia="Times New Roman" w:hAnsi="Verdana"/>
          <w:szCs w:val="20"/>
          <w:lang w:eastAsia="x-none"/>
        </w:rPr>
      </w:pPr>
    </w:p>
    <w:p w:rsidR="006F4C7B" w:rsidRDefault="000A1782" w:rsidP="006F4C7B">
      <w:pPr>
        <w:pStyle w:val="Prrafodelista"/>
        <w:ind w:left="284" w:firstLine="425"/>
        <w:jc w:val="both"/>
        <w:rPr>
          <w:rFonts w:ascii="Verdana" w:hAnsi="Verdana"/>
          <w:szCs w:val="20"/>
          <w:lang w:eastAsia="x-none"/>
        </w:rPr>
      </w:pPr>
      <w:r w:rsidRPr="006F67EE">
        <w:rPr>
          <w:rFonts w:ascii="Verdana" w:eastAsia="Times New Roman" w:hAnsi="Verdana"/>
          <w:szCs w:val="20"/>
          <w:lang w:eastAsia="x-none"/>
        </w:rPr>
        <w:t xml:space="preserve">Para la determinación de </w:t>
      </w:r>
      <w:r w:rsidR="006F67EE" w:rsidRPr="006F67EE">
        <w:rPr>
          <w:rFonts w:ascii="Verdana" w:eastAsia="Times New Roman" w:hAnsi="Verdana"/>
          <w:szCs w:val="20"/>
          <w:lang w:eastAsia="x-none"/>
        </w:rPr>
        <w:t>la tipología y estructura de la</w:t>
      </w:r>
      <w:r w:rsidRPr="006F67EE">
        <w:rPr>
          <w:rFonts w:ascii="Verdana" w:eastAsia="Times New Roman" w:hAnsi="Verdana"/>
          <w:szCs w:val="20"/>
          <w:lang w:eastAsia="x-none"/>
        </w:rPr>
        <w:t xml:space="preserve"> Oficina Judicial prevista en los apartados anteriores, y de las funciones de los </w:t>
      </w:r>
      <w:r w:rsidR="00006334" w:rsidRPr="006F67EE">
        <w:rPr>
          <w:rFonts w:ascii="Verdana" w:eastAsia="Times New Roman" w:hAnsi="Verdana"/>
          <w:szCs w:val="20"/>
          <w:lang w:eastAsia="x-none"/>
        </w:rPr>
        <w:t xml:space="preserve">Letrados de la Administración de Justicia </w:t>
      </w:r>
      <w:r w:rsidRPr="006F67EE">
        <w:rPr>
          <w:rFonts w:ascii="Verdana" w:eastAsia="Times New Roman" w:hAnsi="Verdana"/>
          <w:szCs w:val="20"/>
          <w:lang w:eastAsia="x-none"/>
        </w:rPr>
        <w:t>y del resto del personal perteneciente a los Cuerpos de funcionarios al servicio de la Administración de Justicia integrantes de</w:t>
      </w:r>
      <w:r w:rsidR="00006334" w:rsidRPr="006F67EE">
        <w:rPr>
          <w:rFonts w:ascii="Verdana" w:eastAsia="Times New Roman" w:hAnsi="Verdana"/>
          <w:szCs w:val="20"/>
          <w:lang w:eastAsia="x-none"/>
        </w:rPr>
        <w:t xml:space="preserve"> los</w:t>
      </w:r>
      <w:r w:rsidRPr="006F67EE">
        <w:rPr>
          <w:rFonts w:ascii="Verdana" w:eastAsia="Times New Roman" w:hAnsi="Verdana"/>
          <w:szCs w:val="20"/>
          <w:lang w:eastAsia="x-none"/>
        </w:rPr>
        <w:t xml:space="preserve">  servicios comunes procesales y secretarías de gobierno incluidas en el </w:t>
      </w:r>
      <w:r w:rsidR="00C01404">
        <w:rPr>
          <w:rFonts w:ascii="Verdana" w:eastAsia="Times New Roman" w:hAnsi="Verdana"/>
          <w:szCs w:val="20"/>
          <w:lang w:eastAsia="x-none"/>
        </w:rPr>
        <w:t>A</w:t>
      </w:r>
      <w:r w:rsidRPr="006F67EE">
        <w:rPr>
          <w:rFonts w:ascii="Verdana" w:eastAsia="Times New Roman" w:hAnsi="Verdana"/>
          <w:szCs w:val="20"/>
          <w:lang w:eastAsia="x-none"/>
        </w:rPr>
        <w:t xml:space="preserve">nexo  se estará a lo previsto </w:t>
      </w:r>
      <w:r w:rsidR="00640203">
        <w:rPr>
          <w:rFonts w:ascii="Verdana" w:eastAsia="Times New Roman" w:hAnsi="Verdana"/>
          <w:szCs w:val="20"/>
          <w:lang w:eastAsia="x-none"/>
        </w:rPr>
        <w:t>en</w:t>
      </w:r>
      <w:r w:rsidRPr="006F4C7B">
        <w:rPr>
          <w:rFonts w:ascii="Verdana" w:eastAsia="Times New Roman" w:hAnsi="Verdana"/>
          <w:szCs w:val="20"/>
          <w:lang w:eastAsia="x-none"/>
        </w:rPr>
        <w:t xml:space="preserve"> la Orden JUS/1741/2010, de 22 de junio, por la que se determina la estructura y se aprueban las relaciones de puestos de trabajo de las oficinas judiciales y de las secretarías de gobierno incluidas en la primera fase del Plan del Ministerio de Justicia para la implantación de la Nueva Oficina Judicial.</w:t>
      </w:r>
    </w:p>
    <w:p w:rsidR="006F4C7B" w:rsidRDefault="006F4C7B" w:rsidP="006F4C7B">
      <w:pPr>
        <w:pStyle w:val="Prrafodelista"/>
        <w:ind w:left="284" w:firstLine="425"/>
        <w:jc w:val="both"/>
        <w:rPr>
          <w:rFonts w:ascii="Verdana" w:hAnsi="Verdana"/>
          <w:szCs w:val="20"/>
          <w:lang w:eastAsia="x-none"/>
        </w:rPr>
      </w:pPr>
    </w:p>
    <w:p w:rsidR="000A1782" w:rsidRPr="003F40B3" w:rsidRDefault="000A1782" w:rsidP="000A1782">
      <w:pPr>
        <w:jc w:val="both"/>
        <w:rPr>
          <w:rFonts w:ascii="Verdana" w:hAnsi="Verdana"/>
          <w:szCs w:val="20"/>
          <w:lang w:eastAsia="x-none"/>
        </w:rPr>
      </w:pPr>
    </w:p>
    <w:p w:rsidR="006F4C7B" w:rsidRPr="00F86CE9" w:rsidRDefault="006F67EE" w:rsidP="006F4C7B">
      <w:pPr>
        <w:jc w:val="both"/>
        <w:rPr>
          <w:rFonts w:ascii="Verdana" w:hAnsi="Verdana"/>
          <w:b/>
          <w:i/>
          <w:color w:val="FF0000"/>
          <w:szCs w:val="20"/>
          <w:lang w:eastAsia="x-none"/>
        </w:rPr>
      </w:pPr>
      <w:r w:rsidRPr="006F67EE">
        <w:rPr>
          <w:rFonts w:ascii="Verdana" w:hAnsi="Verdana"/>
          <w:b/>
          <w:szCs w:val="20"/>
          <w:lang w:eastAsia="x-none"/>
        </w:rPr>
        <w:t>Artículo 6</w:t>
      </w:r>
      <w:r w:rsidR="000A1782" w:rsidRPr="003F40B3">
        <w:rPr>
          <w:rFonts w:ascii="Verdana" w:hAnsi="Verdana"/>
          <w:b/>
          <w:i/>
          <w:szCs w:val="20"/>
          <w:lang w:eastAsia="x-none"/>
        </w:rPr>
        <w:t xml:space="preserve">. </w:t>
      </w:r>
      <w:r w:rsidRPr="006F67EE">
        <w:rPr>
          <w:rFonts w:ascii="Verdana" w:hAnsi="Verdana"/>
          <w:b/>
          <w:szCs w:val="20"/>
          <w:lang w:eastAsia="x-none"/>
        </w:rPr>
        <w:t>Tribunal Supremo y Audiencia Naciona</w:t>
      </w:r>
      <w:r w:rsidRPr="00847D26">
        <w:rPr>
          <w:rFonts w:ascii="Verdana" w:hAnsi="Verdana"/>
          <w:b/>
          <w:szCs w:val="20"/>
          <w:lang w:eastAsia="x-none"/>
        </w:rPr>
        <w:t>l.</w:t>
      </w:r>
    </w:p>
    <w:p w:rsidR="006F4C7B" w:rsidRPr="00F86CE9" w:rsidRDefault="006F4C7B" w:rsidP="006F4C7B">
      <w:pPr>
        <w:jc w:val="both"/>
        <w:rPr>
          <w:rFonts w:ascii="Verdana" w:hAnsi="Verdana"/>
          <w:b/>
          <w:i/>
          <w:strike/>
          <w:color w:val="FF0000"/>
          <w:szCs w:val="20"/>
          <w:lang w:eastAsia="x-none"/>
        </w:rPr>
      </w:pPr>
    </w:p>
    <w:p w:rsidR="006A0624" w:rsidRPr="006F67EE" w:rsidRDefault="006A0624" w:rsidP="006F67EE">
      <w:pPr>
        <w:ind w:left="284"/>
        <w:jc w:val="both"/>
        <w:rPr>
          <w:rFonts w:ascii="Verdana" w:hAnsi="Verdana"/>
          <w:szCs w:val="20"/>
          <w:lang w:val="es-ES_tradnl" w:eastAsia="x-none"/>
        </w:rPr>
      </w:pPr>
      <w:r w:rsidRPr="006F67EE">
        <w:rPr>
          <w:rFonts w:ascii="Verdana" w:hAnsi="Verdana"/>
          <w:szCs w:val="20"/>
          <w:lang w:val="es-ES_tradnl" w:eastAsia="x-none"/>
        </w:rPr>
        <w:t>La estructura y organización de la oficina judicial del Tribunal Supremo y de la Audiencia Nacional será la que se determine en las Órdenes que se dicten para su implantación, que definirán el ámbito de los servicios comunes procesales en atención a las especificidades de dichos Tribunales.</w:t>
      </w:r>
    </w:p>
    <w:p w:rsidR="00F86CE9" w:rsidRDefault="00F86CE9" w:rsidP="006F67EE">
      <w:pPr>
        <w:ind w:left="284" w:firstLine="567"/>
        <w:jc w:val="both"/>
        <w:rPr>
          <w:rFonts w:ascii="Verdana" w:hAnsi="Verdana"/>
          <w:szCs w:val="20"/>
          <w:lang w:eastAsia="x-none"/>
        </w:rPr>
      </w:pPr>
    </w:p>
    <w:p w:rsidR="00F86CE9" w:rsidRDefault="00F86CE9" w:rsidP="006F4C7B">
      <w:pPr>
        <w:ind w:firstLine="567"/>
        <w:jc w:val="both"/>
        <w:rPr>
          <w:rFonts w:ascii="Verdana" w:hAnsi="Verdana"/>
          <w:szCs w:val="20"/>
          <w:lang w:eastAsia="x-none"/>
        </w:rPr>
      </w:pPr>
    </w:p>
    <w:p w:rsidR="000A1782" w:rsidRDefault="000A1782" w:rsidP="006F4C7B">
      <w:pPr>
        <w:ind w:left="284" w:firstLine="283"/>
        <w:jc w:val="both"/>
        <w:rPr>
          <w:rFonts w:ascii="Verdana" w:hAnsi="Verdana"/>
          <w:szCs w:val="20"/>
          <w:lang w:eastAsia="x-none"/>
        </w:rPr>
      </w:pPr>
      <w:r w:rsidRPr="003F40B3">
        <w:rPr>
          <w:rFonts w:ascii="Verdana" w:hAnsi="Verdana"/>
          <w:szCs w:val="20"/>
          <w:lang w:eastAsia="x-none"/>
        </w:rPr>
        <w:t xml:space="preserve"> </w:t>
      </w:r>
    </w:p>
    <w:p w:rsidR="006F4C7B" w:rsidRDefault="006F4C7B" w:rsidP="006F4C7B">
      <w:pPr>
        <w:ind w:firstLine="567"/>
        <w:jc w:val="both"/>
        <w:rPr>
          <w:rFonts w:ascii="Verdana" w:hAnsi="Verdana"/>
          <w:szCs w:val="20"/>
          <w:lang w:eastAsia="x-none"/>
        </w:rPr>
      </w:pPr>
    </w:p>
    <w:p w:rsidR="006F4C7B" w:rsidRPr="003F40B3" w:rsidRDefault="006F4C7B" w:rsidP="006F4C7B">
      <w:pPr>
        <w:ind w:firstLine="567"/>
        <w:jc w:val="both"/>
        <w:rPr>
          <w:rFonts w:ascii="Verdana" w:hAnsi="Verdana"/>
          <w:szCs w:val="20"/>
          <w:lang w:eastAsia="x-none"/>
        </w:rPr>
      </w:pPr>
    </w:p>
    <w:p w:rsidR="000A1782" w:rsidRDefault="000A1782" w:rsidP="006F4C7B">
      <w:pPr>
        <w:ind w:firstLine="567"/>
        <w:jc w:val="both"/>
        <w:rPr>
          <w:sz w:val="18"/>
          <w:szCs w:val="18"/>
        </w:rPr>
      </w:pPr>
      <w:r w:rsidRPr="003F40B3">
        <w:rPr>
          <w:rFonts w:ascii="Verdana" w:hAnsi="Verdana"/>
          <w:szCs w:val="20"/>
          <w:lang w:eastAsia="x-none"/>
        </w:rPr>
        <w:t>Disposición final</w:t>
      </w:r>
      <w:r w:rsidR="00CA4EDB">
        <w:rPr>
          <w:rFonts w:ascii="Verdana" w:hAnsi="Verdana"/>
          <w:szCs w:val="20"/>
          <w:lang w:eastAsia="x-none"/>
        </w:rPr>
        <w:t>: La presente Orden entrará en vigor al día siguiente al de su publicación en el “Boletín Oficial del Estado”.</w:t>
      </w:r>
      <w:r w:rsidRPr="003F40B3">
        <w:rPr>
          <w:rFonts w:ascii="Verdana" w:hAnsi="Verdana"/>
          <w:szCs w:val="20"/>
          <w:lang w:eastAsia="x-none"/>
        </w:rPr>
        <w:t xml:space="preserve"> </w:t>
      </w:r>
      <w:bookmarkStart w:id="1" w:name="a90"/>
      <w:bookmarkEnd w:id="1"/>
    </w:p>
    <w:sectPr w:rsidR="000A1782" w:rsidSect="00FB3DBA">
      <w:headerReference w:type="default" r:id="rId8"/>
      <w:footerReference w:type="even" r:id="rId9"/>
      <w:footerReference w:type="default" r:id="rId10"/>
      <w:headerReference w:type="first" r:id="rId11"/>
      <w:pgSz w:w="11906" w:h="16838" w:code="9"/>
      <w:pgMar w:top="1701" w:right="737" w:bottom="1080" w:left="900"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212" w:rsidRDefault="00367212">
      <w:r>
        <w:separator/>
      </w:r>
    </w:p>
  </w:endnote>
  <w:endnote w:type="continuationSeparator" w:id="0">
    <w:p w:rsidR="00367212" w:rsidRDefault="0036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DBA" w:rsidRDefault="006F4C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B3DBA" w:rsidRDefault="0036721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DBA" w:rsidRDefault="006F4C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57C88">
      <w:rPr>
        <w:rStyle w:val="Nmerodepgina"/>
        <w:noProof/>
      </w:rPr>
      <w:t>2</w:t>
    </w:r>
    <w:r>
      <w:rPr>
        <w:rStyle w:val="Nmerodepgina"/>
      </w:rPr>
      <w:fldChar w:fldCharType="end"/>
    </w:r>
  </w:p>
  <w:p w:rsidR="00FB3DBA" w:rsidRDefault="0036721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212" w:rsidRDefault="00367212">
      <w:r>
        <w:separator/>
      </w:r>
    </w:p>
  </w:footnote>
  <w:footnote w:type="continuationSeparator" w:id="0">
    <w:p w:rsidR="00367212" w:rsidRDefault="003672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70" w:type="dxa"/>
        <w:right w:w="70" w:type="dxa"/>
      </w:tblCellMar>
      <w:tblLook w:val="0000" w:firstRow="0" w:lastRow="0" w:firstColumn="0" w:lastColumn="0" w:noHBand="0" w:noVBand="0"/>
    </w:tblPr>
    <w:tblGrid>
      <w:gridCol w:w="1346"/>
      <w:gridCol w:w="7726"/>
      <w:gridCol w:w="1843"/>
    </w:tblGrid>
    <w:tr w:rsidR="00FB3DBA">
      <w:trPr>
        <w:cantSplit/>
        <w:trHeight w:val="991"/>
        <w:jc w:val="center"/>
      </w:trPr>
      <w:tc>
        <w:tcPr>
          <w:tcW w:w="1346" w:type="dxa"/>
        </w:tcPr>
        <w:p w:rsidR="00FB3DBA" w:rsidRDefault="00367212">
          <w:pPr>
            <w:pStyle w:val="Encabezado"/>
            <w:tabs>
              <w:tab w:val="clear" w:pos="4252"/>
              <w:tab w:val="clear" w:pos="8504"/>
            </w:tabs>
          </w:pPr>
        </w:p>
      </w:tc>
      <w:tc>
        <w:tcPr>
          <w:tcW w:w="7726" w:type="dxa"/>
        </w:tcPr>
        <w:p w:rsidR="00FB3DBA" w:rsidRDefault="00367212">
          <w:pPr>
            <w:pStyle w:val="Encabezado"/>
            <w:tabs>
              <w:tab w:val="clear" w:pos="4252"/>
              <w:tab w:val="left" w:pos="2127"/>
              <w:tab w:val="left" w:pos="6521"/>
            </w:tabs>
          </w:pPr>
        </w:p>
      </w:tc>
      <w:bookmarkStart w:id="2" w:name="_MON_1030527131"/>
      <w:bookmarkEnd w:id="2"/>
      <w:tc>
        <w:tcPr>
          <w:tcW w:w="1843" w:type="dxa"/>
        </w:tcPr>
        <w:p w:rsidR="00FB3DBA" w:rsidRDefault="006F4C7B">
          <w:pPr>
            <w:pStyle w:val="Encabezado"/>
            <w:tabs>
              <w:tab w:val="clear" w:pos="4252"/>
              <w:tab w:val="left" w:pos="6521"/>
            </w:tabs>
            <w:spacing w:before="120" w:after="120"/>
            <w:jc w:val="right"/>
            <w:rPr>
              <w:rFonts w:ascii="Gill Sans MT" w:hAnsi="Gill Sans MT"/>
              <w:sz w:val="10"/>
            </w:rPr>
          </w:pPr>
          <w:r>
            <w:object w:dxaOrig="1081" w:dyaOrig="11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4.4pt" o:ole="" fillcolor="window">
                <v:imagedata r:id="rId1" o:title=""/>
              </v:shape>
              <o:OLEObject Type="Embed" ProgID="Word.Picture.8" ShapeID="_x0000_i1025" DrawAspect="Content" ObjectID="_1510073181" r:id="rId2"/>
            </w:object>
          </w:r>
        </w:p>
      </w:tc>
    </w:tr>
  </w:tbl>
  <w:p w:rsidR="00FB3DBA" w:rsidRDefault="006F4C7B">
    <w:pPr>
      <w:pStyle w:val="Encabezado"/>
    </w:pPr>
    <w:r>
      <w:rPr>
        <w:noProof/>
        <w:sz w:val="20"/>
        <w:lang w:val="es-ES_tradnl" w:eastAsia="es-ES_tradnl"/>
      </w:rPr>
      <mc:AlternateContent>
        <mc:Choice Requires="wps">
          <w:drawing>
            <wp:anchor distT="0" distB="0" distL="114300" distR="114300" simplePos="0" relativeHeight="251660288" behindDoc="0" locked="0" layoutInCell="1" allowOverlap="1" wp14:anchorId="5627B15F" wp14:editId="4BCC740F">
              <wp:simplePos x="0" y="0"/>
              <wp:positionH relativeFrom="margin">
                <wp:posOffset>-114300</wp:posOffset>
              </wp:positionH>
              <wp:positionV relativeFrom="page">
                <wp:posOffset>1308735</wp:posOffset>
              </wp:positionV>
              <wp:extent cx="6840220" cy="8686800"/>
              <wp:effectExtent l="9525" t="13335" r="8255" b="571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8686800"/>
                      </a:xfrm>
                      <a:prstGeom prst="rect">
                        <a:avLst/>
                      </a:prstGeom>
                      <a:solidFill>
                        <a:srgbClr val="FFFFFF"/>
                      </a:solidFill>
                      <a:ln w="9525">
                        <a:solidFill>
                          <a:srgbClr val="000000"/>
                        </a:solidFill>
                        <a:miter lim="800000"/>
                        <a:headEnd/>
                        <a:tailEnd/>
                      </a:ln>
                    </wps:spPr>
                    <wps:txbx>
                      <w:txbxContent>
                        <w:p w:rsidR="00FB3DBA" w:rsidRDefault="003672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pt;margin-top:103.05pt;width:538.6pt;height:68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">
              <v:textbox>
                <w:txbxContent>
                  <w:p w:rsidR="00FB3DBA" w:rsidRDefault="00F86CE9"/>
                </w:txbxContent>
              </v:textbox>
              <w10:wrap anchorx="margin"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8" w:type="dxa"/>
      <w:jc w:val="center"/>
      <w:tblLayout w:type="fixed"/>
      <w:tblCellMar>
        <w:left w:w="70" w:type="dxa"/>
        <w:right w:w="70" w:type="dxa"/>
      </w:tblCellMar>
      <w:tblLook w:val="0000" w:firstRow="0" w:lastRow="0" w:firstColumn="0" w:lastColumn="0" w:noHBand="0" w:noVBand="0"/>
    </w:tblPr>
    <w:tblGrid>
      <w:gridCol w:w="1305"/>
      <w:gridCol w:w="3417"/>
      <w:gridCol w:w="1766"/>
      <w:gridCol w:w="3645"/>
      <w:gridCol w:w="45"/>
    </w:tblGrid>
    <w:tr w:rsidR="00FB3DBA">
      <w:trPr>
        <w:cantSplit/>
        <w:trHeight w:val="427"/>
        <w:jc w:val="center"/>
      </w:trPr>
      <w:tc>
        <w:tcPr>
          <w:tcW w:w="1305" w:type="dxa"/>
          <w:vMerge w:val="restart"/>
        </w:tcPr>
        <w:bookmarkStart w:id="3" w:name="_MON_1085909527"/>
        <w:bookmarkStart w:id="4" w:name="_MON_1085910410"/>
        <w:bookmarkEnd w:id="3"/>
        <w:bookmarkEnd w:id="4"/>
        <w:bookmarkStart w:id="5" w:name="_MON_1030352108"/>
        <w:bookmarkEnd w:id="5"/>
        <w:p w:rsidR="00FB3DBA" w:rsidRDefault="006F4C7B">
          <w:pPr>
            <w:pStyle w:val="Encabezado"/>
            <w:tabs>
              <w:tab w:val="clear" w:pos="4252"/>
              <w:tab w:val="clear" w:pos="8504"/>
            </w:tabs>
            <w:ind w:left="-41" w:right="1318"/>
          </w:pPr>
          <w:r>
            <w:object w:dxaOrig="1081" w:dyaOrig="11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pt;height:59.4pt" o:ole="" fillcolor="window">
                <v:imagedata r:id="rId1" o:title=""/>
              </v:shape>
              <o:OLEObject Type="Embed" ProgID="Word.Picture.8" ShapeID="_x0000_i1026" DrawAspect="Content" ObjectID="_1510073182" r:id="rId2"/>
            </w:object>
          </w:r>
        </w:p>
      </w:tc>
      <w:tc>
        <w:tcPr>
          <w:tcW w:w="3417" w:type="dxa"/>
          <w:vMerge w:val="restart"/>
        </w:tcPr>
        <w:p w:rsidR="00FB3DBA" w:rsidRDefault="00367212">
          <w:pPr>
            <w:pStyle w:val="Encabezado"/>
            <w:tabs>
              <w:tab w:val="clear" w:pos="4252"/>
              <w:tab w:val="left" w:pos="-819"/>
              <w:tab w:val="left" w:pos="6521"/>
            </w:tabs>
            <w:ind w:right="-7"/>
            <w:rPr>
              <w:rFonts w:ascii="Gill Sans MT" w:hAnsi="Gill Sans MT"/>
              <w:sz w:val="14"/>
            </w:rPr>
          </w:pPr>
        </w:p>
        <w:p w:rsidR="00FB3DBA" w:rsidRDefault="00367212">
          <w:pPr>
            <w:pStyle w:val="Encabezado"/>
            <w:tabs>
              <w:tab w:val="clear" w:pos="4252"/>
              <w:tab w:val="left" w:pos="-819"/>
              <w:tab w:val="left" w:pos="6521"/>
            </w:tabs>
            <w:ind w:right="-7"/>
            <w:rPr>
              <w:rFonts w:ascii="Gill Sans MT" w:hAnsi="Gill Sans MT"/>
              <w:sz w:val="14"/>
            </w:rPr>
          </w:pPr>
        </w:p>
        <w:p w:rsidR="00FB3DBA" w:rsidRDefault="006F4C7B">
          <w:pPr>
            <w:pStyle w:val="Encabezado"/>
            <w:tabs>
              <w:tab w:val="clear" w:pos="4252"/>
              <w:tab w:val="left" w:pos="-819"/>
              <w:tab w:val="left" w:pos="6521"/>
            </w:tabs>
            <w:ind w:right="-7"/>
          </w:pPr>
          <w:r>
            <w:t xml:space="preserve">MINISTERIO </w:t>
          </w:r>
        </w:p>
        <w:p w:rsidR="00FB3DBA" w:rsidRDefault="006F4C7B">
          <w:pPr>
            <w:pStyle w:val="Encabezado"/>
            <w:tabs>
              <w:tab w:val="clear" w:pos="4252"/>
              <w:tab w:val="left" w:pos="-819"/>
              <w:tab w:val="left" w:pos="6521"/>
            </w:tabs>
            <w:ind w:right="-7"/>
            <w:rPr>
              <w:rFonts w:ascii="Arial" w:hAnsi="Arial"/>
              <w:sz w:val="20"/>
            </w:rPr>
          </w:pPr>
          <w:r>
            <w:t>DE JUSTICIA</w:t>
          </w:r>
        </w:p>
      </w:tc>
      <w:tc>
        <w:tcPr>
          <w:tcW w:w="1766" w:type="dxa"/>
          <w:vMerge w:val="restart"/>
        </w:tcPr>
        <w:p w:rsidR="00FB3DBA" w:rsidRDefault="00367212">
          <w:pPr>
            <w:pStyle w:val="Encabezado"/>
            <w:tabs>
              <w:tab w:val="clear" w:pos="4252"/>
              <w:tab w:val="left" w:pos="-819"/>
              <w:tab w:val="left" w:pos="6521"/>
            </w:tabs>
            <w:rPr>
              <w:rFonts w:ascii="Gill Sans MT" w:hAnsi="Gill Sans MT"/>
              <w:sz w:val="16"/>
            </w:rPr>
          </w:pPr>
        </w:p>
      </w:tc>
      <w:tc>
        <w:tcPr>
          <w:tcW w:w="3690" w:type="dxa"/>
          <w:gridSpan w:val="2"/>
          <w:shd w:val="clear" w:color="auto" w:fill="FFFFFF"/>
        </w:tcPr>
        <w:p w:rsidR="00FB3DBA" w:rsidRPr="006D23D3" w:rsidRDefault="006F4C7B" w:rsidP="00791929">
          <w:pPr>
            <w:pStyle w:val="Encabezado"/>
            <w:tabs>
              <w:tab w:val="clear" w:pos="4252"/>
              <w:tab w:val="left" w:pos="6521"/>
            </w:tabs>
            <w:spacing w:before="100"/>
            <w:jc w:val="right"/>
            <w:rPr>
              <w:rFonts w:ascii="Arial" w:hAnsi="Arial" w:cs="Arial"/>
              <w:sz w:val="22"/>
              <w:szCs w:val="22"/>
            </w:rPr>
          </w:pPr>
          <w:r>
            <w:rPr>
              <w:rFonts w:ascii="Arial" w:hAnsi="Arial" w:cs="Arial"/>
              <w:sz w:val="22"/>
              <w:szCs w:val="22"/>
            </w:rPr>
            <w:t>-07-2015</w:t>
          </w:r>
        </w:p>
      </w:tc>
    </w:tr>
    <w:tr w:rsidR="00FB3DBA">
      <w:trPr>
        <w:gridAfter w:val="1"/>
        <w:wAfter w:w="45" w:type="dxa"/>
        <w:cantSplit/>
        <w:trHeight w:hRule="exact" w:val="100"/>
        <w:jc w:val="center"/>
      </w:trPr>
      <w:tc>
        <w:tcPr>
          <w:tcW w:w="1305" w:type="dxa"/>
          <w:vMerge/>
        </w:tcPr>
        <w:p w:rsidR="00FB3DBA" w:rsidRDefault="00367212">
          <w:pPr>
            <w:pStyle w:val="Encabezado"/>
            <w:tabs>
              <w:tab w:val="clear" w:pos="4252"/>
              <w:tab w:val="clear" w:pos="8504"/>
            </w:tabs>
            <w:ind w:left="-41" w:right="1176"/>
          </w:pPr>
        </w:p>
      </w:tc>
      <w:tc>
        <w:tcPr>
          <w:tcW w:w="3417" w:type="dxa"/>
          <w:vMerge/>
        </w:tcPr>
        <w:p w:rsidR="00FB3DBA" w:rsidRDefault="00367212">
          <w:pPr>
            <w:pStyle w:val="Encabezado"/>
            <w:tabs>
              <w:tab w:val="clear" w:pos="4252"/>
              <w:tab w:val="left" w:pos="-819"/>
              <w:tab w:val="left" w:pos="6521"/>
            </w:tabs>
            <w:rPr>
              <w:rFonts w:ascii="Gill Sans MT" w:hAnsi="Gill Sans MT"/>
              <w:sz w:val="16"/>
            </w:rPr>
          </w:pPr>
        </w:p>
      </w:tc>
      <w:tc>
        <w:tcPr>
          <w:tcW w:w="1766" w:type="dxa"/>
          <w:vMerge/>
        </w:tcPr>
        <w:p w:rsidR="00FB3DBA" w:rsidRDefault="00367212">
          <w:pPr>
            <w:pStyle w:val="Encabezado"/>
            <w:tabs>
              <w:tab w:val="clear" w:pos="4252"/>
              <w:tab w:val="left" w:pos="-819"/>
              <w:tab w:val="left" w:pos="6521"/>
            </w:tabs>
            <w:rPr>
              <w:rFonts w:ascii="Gill Sans MT" w:hAnsi="Gill Sans MT"/>
              <w:sz w:val="16"/>
            </w:rPr>
          </w:pPr>
        </w:p>
      </w:tc>
      <w:tc>
        <w:tcPr>
          <w:tcW w:w="3645" w:type="dxa"/>
        </w:tcPr>
        <w:p w:rsidR="00FB3DBA" w:rsidRPr="005F6A09" w:rsidRDefault="00367212">
          <w:pPr>
            <w:pStyle w:val="Encabezado"/>
            <w:tabs>
              <w:tab w:val="clear" w:pos="4252"/>
              <w:tab w:val="left" w:pos="6521"/>
            </w:tabs>
            <w:ind w:right="782"/>
            <w:rPr>
              <w:rFonts w:ascii="Gill Sans MT" w:hAnsi="Gill Sans MT"/>
            </w:rPr>
          </w:pPr>
        </w:p>
      </w:tc>
    </w:tr>
    <w:tr w:rsidR="00FB3DBA">
      <w:trPr>
        <w:gridAfter w:val="1"/>
        <w:wAfter w:w="45" w:type="dxa"/>
        <w:cantSplit/>
        <w:trHeight w:hRule="exact" w:val="427"/>
        <w:jc w:val="center"/>
      </w:trPr>
      <w:tc>
        <w:tcPr>
          <w:tcW w:w="1305" w:type="dxa"/>
          <w:vMerge/>
        </w:tcPr>
        <w:p w:rsidR="00FB3DBA" w:rsidRDefault="00367212">
          <w:pPr>
            <w:pStyle w:val="Encabezado"/>
            <w:tabs>
              <w:tab w:val="clear" w:pos="4252"/>
              <w:tab w:val="clear" w:pos="8504"/>
            </w:tabs>
            <w:ind w:left="-41" w:right="1176"/>
          </w:pPr>
        </w:p>
      </w:tc>
      <w:tc>
        <w:tcPr>
          <w:tcW w:w="3417" w:type="dxa"/>
          <w:vMerge/>
        </w:tcPr>
        <w:p w:rsidR="00FB3DBA" w:rsidRDefault="00367212">
          <w:pPr>
            <w:pStyle w:val="Encabezado"/>
            <w:tabs>
              <w:tab w:val="clear" w:pos="4252"/>
              <w:tab w:val="left" w:pos="-819"/>
              <w:tab w:val="left" w:pos="6521"/>
            </w:tabs>
            <w:rPr>
              <w:rFonts w:ascii="Gill Sans MT" w:hAnsi="Gill Sans MT"/>
              <w:sz w:val="16"/>
            </w:rPr>
          </w:pPr>
        </w:p>
      </w:tc>
      <w:tc>
        <w:tcPr>
          <w:tcW w:w="1766" w:type="dxa"/>
          <w:vMerge/>
        </w:tcPr>
        <w:p w:rsidR="00FB3DBA" w:rsidRDefault="00367212">
          <w:pPr>
            <w:pStyle w:val="Encabezado"/>
            <w:tabs>
              <w:tab w:val="clear" w:pos="4252"/>
              <w:tab w:val="left" w:pos="-819"/>
              <w:tab w:val="left" w:pos="6521"/>
            </w:tabs>
            <w:rPr>
              <w:rFonts w:ascii="Gill Sans MT" w:hAnsi="Gill Sans MT"/>
              <w:sz w:val="16"/>
            </w:rPr>
          </w:pPr>
        </w:p>
      </w:tc>
      <w:tc>
        <w:tcPr>
          <w:tcW w:w="3645" w:type="dxa"/>
        </w:tcPr>
        <w:p w:rsidR="00FB3DBA" w:rsidRPr="00C562F6" w:rsidRDefault="00367212" w:rsidP="00FB3DBA">
          <w:pPr>
            <w:pStyle w:val="Encabezado"/>
            <w:tabs>
              <w:tab w:val="clear" w:pos="4252"/>
              <w:tab w:val="left" w:pos="6521"/>
            </w:tabs>
            <w:spacing w:before="100"/>
            <w:ind w:right="782"/>
            <w:jc w:val="center"/>
            <w:rPr>
              <w:b/>
              <w:lang w:val="en-GB"/>
            </w:rPr>
          </w:pPr>
        </w:p>
      </w:tc>
    </w:tr>
    <w:tr w:rsidR="00FB3DBA">
      <w:trPr>
        <w:gridAfter w:val="1"/>
        <w:wAfter w:w="45" w:type="dxa"/>
        <w:cantSplit/>
        <w:trHeight w:hRule="exact" w:val="427"/>
        <w:jc w:val="center"/>
      </w:trPr>
      <w:tc>
        <w:tcPr>
          <w:tcW w:w="1305" w:type="dxa"/>
          <w:vMerge/>
          <w:tcBorders>
            <w:bottom w:val="nil"/>
          </w:tcBorders>
        </w:tcPr>
        <w:p w:rsidR="00FB3DBA" w:rsidRDefault="00367212">
          <w:pPr>
            <w:pStyle w:val="Encabezado"/>
            <w:tabs>
              <w:tab w:val="clear" w:pos="4252"/>
              <w:tab w:val="clear" w:pos="8504"/>
            </w:tabs>
            <w:ind w:left="-41" w:right="1176"/>
          </w:pPr>
        </w:p>
      </w:tc>
      <w:tc>
        <w:tcPr>
          <w:tcW w:w="3417" w:type="dxa"/>
          <w:vMerge/>
          <w:tcBorders>
            <w:bottom w:val="nil"/>
          </w:tcBorders>
        </w:tcPr>
        <w:p w:rsidR="00FB3DBA" w:rsidRDefault="00367212">
          <w:pPr>
            <w:pStyle w:val="Encabezado"/>
            <w:tabs>
              <w:tab w:val="clear" w:pos="4252"/>
              <w:tab w:val="left" w:pos="-819"/>
              <w:tab w:val="left" w:pos="6521"/>
            </w:tabs>
            <w:rPr>
              <w:rFonts w:ascii="Gill Sans MT" w:hAnsi="Gill Sans MT"/>
              <w:sz w:val="16"/>
            </w:rPr>
          </w:pPr>
        </w:p>
      </w:tc>
      <w:tc>
        <w:tcPr>
          <w:tcW w:w="1766" w:type="dxa"/>
          <w:vMerge/>
          <w:tcBorders>
            <w:bottom w:val="nil"/>
          </w:tcBorders>
        </w:tcPr>
        <w:p w:rsidR="00FB3DBA" w:rsidRDefault="00367212">
          <w:pPr>
            <w:pStyle w:val="Encabezado"/>
            <w:tabs>
              <w:tab w:val="clear" w:pos="4252"/>
              <w:tab w:val="left" w:pos="-819"/>
              <w:tab w:val="left" w:pos="6521"/>
            </w:tabs>
            <w:rPr>
              <w:rFonts w:ascii="Gill Sans MT" w:hAnsi="Gill Sans MT"/>
              <w:sz w:val="16"/>
            </w:rPr>
          </w:pPr>
        </w:p>
      </w:tc>
      <w:tc>
        <w:tcPr>
          <w:tcW w:w="3645" w:type="dxa"/>
        </w:tcPr>
        <w:p w:rsidR="00FB3DBA" w:rsidRDefault="00367212">
          <w:pPr>
            <w:pStyle w:val="Encabezado"/>
            <w:tabs>
              <w:tab w:val="clear" w:pos="4252"/>
              <w:tab w:val="left" w:pos="6521"/>
            </w:tabs>
            <w:spacing w:before="100"/>
            <w:ind w:right="782"/>
            <w:rPr>
              <w:lang w:val="en-GB"/>
            </w:rPr>
          </w:pPr>
        </w:p>
      </w:tc>
    </w:tr>
  </w:tbl>
  <w:p w:rsidR="00FB3DBA" w:rsidRDefault="006F4C7B">
    <w:pPr>
      <w:pStyle w:val="Encabezado"/>
      <w:rPr>
        <w:lang w:val="en-GB"/>
      </w:rPr>
    </w:pPr>
    <w:r>
      <w:rPr>
        <w:noProof/>
        <w:sz w:val="20"/>
        <w:lang w:val="es-ES_tradnl" w:eastAsia="es-ES_tradnl"/>
      </w:rPr>
      <mc:AlternateContent>
        <mc:Choice Requires="wps">
          <w:drawing>
            <wp:anchor distT="0" distB="0" distL="114300" distR="114300" simplePos="0" relativeHeight="251659264" behindDoc="0" locked="0" layoutInCell="0" allowOverlap="1" wp14:anchorId="7D8D4886" wp14:editId="30243E28">
              <wp:simplePos x="0" y="0"/>
              <wp:positionH relativeFrom="margin">
                <wp:posOffset>-107950</wp:posOffset>
              </wp:positionH>
              <wp:positionV relativeFrom="page">
                <wp:posOffset>3477895</wp:posOffset>
              </wp:positionV>
              <wp:extent cx="6840220" cy="6580505"/>
              <wp:effectExtent l="6350" t="10795" r="11430" b="952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6580505"/>
                      </a:xfrm>
                      <a:prstGeom prst="rect">
                        <a:avLst/>
                      </a:prstGeom>
                      <a:solidFill>
                        <a:srgbClr val="FFFFFF"/>
                      </a:solidFill>
                      <a:ln w="9525">
                        <a:solidFill>
                          <a:srgbClr val="000000"/>
                        </a:solidFill>
                        <a:miter lim="800000"/>
                        <a:headEnd/>
                        <a:tailEnd/>
                      </a:ln>
                    </wps:spPr>
                    <wps:txbx>
                      <w:txbxContent>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p w:rsidR="00FB3DBA" w:rsidRDefault="00367212">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7" type="#_x0000_t202" style="position:absolute;margin-left:-8.5pt;margin-top:273.85pt;width:538.6pt;height:5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" o:allowincell="f">
              <v:textbox>
                <w:txbxContent>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p w:rsidR="00FB3DBA" w:rsidRDefault="00F86CE9">
                    <w:pPr>
                      <w:rPr>
                        <w:lang w:val="es-ES_tradnl"/>
                      </w:rPr>
                    </w:pPr>
                  </w:p>
                </w:txbxContent>
              </v:textbox>
              <w10:wrap anchorx="margin"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70B93"/>
    <w:multiLevelType w:val="hybridMultilevel"/>
    <w:tmpl w:val="D938CF28"/>
    <w:lvl w:ilvl="0" w:tplc="F9140DAC">
      <w:start w:val="1"/>
      <w:numFmt w:val="decimal"/>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
    <w:nsid w:val="0B5D1C0A"/>
    <w:multiLevelType w:val="hybridMultilevel"/>
    <w:tmpl w:val="A1B05D76"/>
    <w:lvl w:ilvl="0" w:tplc="F0B86E1C">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
    <w:nsid w:val="29AE3A01"/>
    <w:multiLevelType w:val="hybridMultilevel"/>
    <w:tmpl w:val="6AD4C278"/>
    <w:lvl w:ilvl="0" w:tplc="64F231CA">
      <w:start w:val="1"/>
      <w:numFmt w:val="decimal"/>
      <w:lvlText w:val="%1."/>
      <w:lvlJc w:val="left"/>
      <w:pPr>
        <w:ind w:left="1069" w:hanging="360"/>
      </w:pPr>
      <w:rPr>
        <w:rFonts w:hint="default"/>
        <w:b w:val="0"/>
        <w:i w:val="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
    <w:nsid w:val="710E71F6"/>
    <w:multiLevelType w:val="hybridMultilevel"/>
    <w:tmpl w:val="927E59B8"/>
    <w:lvl w:ilvl="0" w:tplc="664013B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782"/>
    <w:rsid w:val="00006334"/>
    <w:rsid w:val="000A1782"/>
    <w:rsid w:val="000A432D"/>
    <w:rsid w:val="00100BB2"/>
    <w:rsid w:val="00143A47"/>
    <w:rsid w:val="0019669B"/>
    <w:rsid w:val="001F0F87"/>
    <w:rsid w:val="001F4135"/>
    <w:rsid w:val="001F76CB"/>
    <w:rsid w:val="002839BD"/>
    <w:rsid w:val="002F0DE8"/>
    <w:rsid w:val="0030605B"/>
    <w:rsid w:val="00351A72"/>
    <w:rsid w:val="00353323"/>
    <w:rsid w:val="003622FF"/>
    <w:rsid w:val="00367212"/>
    <w:rsid w:val="003B6B8C"/>
    <w:rsid w:val="003E273D"/>
    <w:rsid w:val="003F40B3"/>
    <w:rsid w:val="004426DA"/>
    <w:rsid w:val="0045324F"/>
    <w:rsid w:val="004A248E"/>
    <w:rsid w:val="004E01F4"/>
    <w:rsid w:val="004E0826"/>
    <w:rsid w:val="004F7158"/>
    <w:rsid w:val="005B7709"/>
    <w:rsid w:val="005E0212"/>
    <w:rsid w:val="00640203"/>
    <w:rsid w:val="00655086"/>
    <w:rsid w:val="0066115E"/>
    <w:rsid w:val="006746D3"/>
    <w:rsid w:val="006A0624"/>
    <w:rsid w:val="006B0456"/>
    <w:rsid w:val="006F4C7B"/>
    <w:rsid w:val="006F67EE"/>
    <w:rsid w:val="00770F42"/>
    <w:rsid w:val="007852D1"/>
    <w:rsid w:val="00847D26"/>
    <w:rsid w:val="00854C83"/>
    <w:rsid w:val="008B4D3A"/>
    <w:rsid w:val="008E3D69"/>
    <w:rsid w:val="009137B2"/>
    <w:rsid w:val="00A57C88"/>
    <w:rsid w:val="00A92200"/>
    <w:rsid w:val="00B65861"/>
    <w:rsid w:val="00B9006F"/>
    <w:rsid w:val="00BB6D51"/>
    <w:rsid w:val="00BD0ECC"/>
    <w:rsid w:val="00C01404"/>
    <w:rsid w:val="00C27659"/>
    <w:rsid w:val="00C3333E"/>
    <w:rsid w:val="00C7537B"/>
    <w:rsid w:val="00CA4EDB"/>
    <w:rsid w:val="00D30569"/>
    <w:rsid w:val="00DB15E9"/>
    <w:rsid w:val="00E702E3"/>
    <w:rsid w:val="00E93D2A"/>
    <w:rsid w:val="00E94790"/>
    <w:rsid w:val="00EA3D3B"/>
    <w:rsid w:val="00EA5FB3"/>
    <w:rsid w:val="00EE5F7E"/>
    <w:rsid w:val="00F3518F"/>
    <w:rsid w:val="00F42628"/>
    <w:rsid w:val="00F86CE9"/>
    <w:rsid w:val="00FF79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782"/>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0A1782"/>
    <w:pPr>
      <w:keepNext/>
      <w:outlineLvl w:val="0"/>
    </w:pPr>
    <w:rPr>
      <w:sz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1782"/>
    <w:rPr>
      <w:rFonts w:ascii="Times New Roman" w:eastAsia="Times New Roman" w:hAnsi="Times New Roman" w:cs="Times New Roman"/>
      <w:sz w:val="40"/>
      <w:szCs w:val="24"/>
      <w:lang w:eastAsia="es-ES"/>
    </w:rPr>
  </w:style>
  <w:style w:type="paragraph" w:styleId="Encabezado">
    <w:name w:val="header"/>
    <w:basedOn w:val="Normal"/>
    <w:link w:val="EncabezadoCar"/>
    <w:rsid w:val="000A1782"/>
    <w:pPr>
      <w:tabs>
        <w:tab w:val="center" w:pos="4252"/>
        <w:tab w:val="right" w:pos="8504"/>
      </w:tabs>
    </w:pPr>
  </w:style>
  <w:style w:type="character" w:customStyle="1" w:styleId="EncabezadoCar">
    <w:name w:val="Encabezado Car"/>
    <w:basedOn w:val="Fuentedeprrafopredeter"/>
    <w:link w:val="Encabezado"/>
    <w:rsid w:val="000A1782"/>
    <w:rPr>
      <w:rFonts w:ascii="Times New Roman" w:eastAsia="Times New Roman" w:hAnsi="Times New Roman" w:cs="Times New Roman"/>
      <w:sz w:val="24"/>
      <w:szCs w:val="24"/>
      <w:lang w:eastAsia="es-ES"/>
    </w:rPr>
  </w:style>
  <w:style w:type="paragraph" w:styleId="Piedepgina">
    <w:name w:val="footer"/>
    <w:basedOn w:val="Normal"/>
    <w:link w:val="PiedepginaCar"/>
    <w:rsid w:val="000A1782"/>
    <w:pPr>
      <w:tabs>
        <w:tab w:val="center" w:pos="4252"/>
        <w:tab w:val="right" w:pos="8504"/>
      </w:tabs>
    </w:pPr>
  </w:style>
  <w:style w:type="character" w:customStyle="1" w:styleId="PiedepginaCar">
    <w:name w:val="Pie de página Car"/>
    <w:basedOn w:val="Fuentedeprrafopredeter"/>
    <w:link w:val="Piedepgina"/>
    <w:rsid w:val="000A1782"/>
    <w:rPr>
      <w:rFonts w:ascii="Times New Roman" w:eastAsia="Times New Roman" w:hAnsi="Times New Roman" w:cs="Times New Roman"/>
      <w:sz w:val="24"/>
      <w:szCs w:val="24"/>
      <w:lang w:eastAsia="es-ES"/>
    </w:rPr>
  </w:style>
  <w:style w:type="character" w:styleId="Nmerodepgina">
    <w:name w:val="page number"/>
    <w:basedOn w:val="Fuentedeprrafopredeter"/>
    <w:rsid w:val="000A1782"/>
  </w:style>
  <w:style w:type="paragraph" w:styleId="Prrafodelista">
    <w:name w:val="List Paragraph"/>
    <w:basedOn w:val="Normal"/>
    <w:uiPriority w:val="34"/>
    <w:qFormat/>
    <w:rsid w:val="000A1782"/>
    <w:pPr>
      <w:spacing w:after="200"/>
      <w:ind w:left="720"/>
      <w:contextualSpacing/>
    </w:pPr>
    <w:rPr>
      <w:rFonts w:ascii="Cambria" w:eastAsia="Cambria" w:hAnsi="Cambria"/>
      <w:lang w:val="es-ES_tradnl" w:eastAsia="en-US"/>
    </w:rPr>
  </w:style>
  <w:style w:type="paragraph" w:styleId="Textonotapie">
    <w:name w:val="footnote text"/>
    <w:basedOn w:val="Normal"/>
    <w:link w:val="TextonotapieCar"/>
    <w:semiHidden/>
    <w:rsid w:val="000A1782"/>
    <w:rPr>
      <w:sz w:val="20"/>
      <w:szCs w:val="20"/>
      <w:lang w:val="es-ES_tradnl"/>
    </w:rPr>
  </w:style>
  <w:style w:type="character" w:customStyle="1" w:styleId="TextonotapieCar">
    <w:name w:val="Texto nota pie Car"/>
    <w:basedOn w:val="Fuentedeprrafopredeter"/>
    <w:link w:val="Textonotapie"/>
    <w:semiHidden/>
    <w:rsid w:val="000A1782"/>
    <w:rPr>
      <w:rFonts w:ascii="Times New Roman" w:eastAsia="Times New Roman" w:hAnsi="Times New Roman" w:cs="Times New Roman"/>
      <w:sz w:val="20"/>
      <w:szCs w:val="20"/>
      <w:lang w:val="es-ES_tradnl" w:eastAsia="es-ES"/>
    </w:rPr>
  </w:style>
  <w:style w:type="paragraph" w:customStyle="1" w:styleId="Default">
    <w:name w:val="Default"/>
    <w:rsid w:val="000A1782"/>
    <w:pPr>
      <w:autoSpaceDE w:val="0"/>
      <w:autoSpaceDN w:val="0"/>
      <w:adjustRightInd w:val="0"/>
      <w:spacing w:after="0" w:line="240" w:lineRule="auto"/>
    </w:pPr>
    <w:rPr>
      <w:rFonts w:ascii="Arial Unicode MS" w:eastAsia="Arial Unicode MS" w:cs="Arial Unicode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782"/>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0A1782"/>
    <w:pPr>
      <w:keepNext/>
      <w:outlineLvl w:val="0"/>
    </w:pPr>
    <w:rPr>
      <w:sz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1782"/>
    <w:rPr>
      <w:rFonts w:ascii="Times New Roman" w:eastAsia="Times New Roman" w:hAnsi="Times New Roman" w:cs="Times New Roman"/>
      <w:sz w:val="40"/>
      <w:szCs w:val="24"/>
      <w:lang w:eastAsia="es-ES"/>
    </w:rPr>
  </w:style>
  <w:style w:type="paragraph" w:styleId="Encabezado">
    <w:name w:val="header"/>
    <w:basedOn w:val="Normal"/>
    <w:link w:val="EncabezadoCar"/>
    <w:rsid w:val="000A1782"/>
    <w:pPr>
      <w:tabs>
        <w:tab w:val="center" w:pos="4252"/>
        <w:tab w:val="right" w:pos="8504"/>
      </w:tabs>
    </w:pPr>
  </w:style>
  <w:style w:type="character" w:customStyle="1" w:styleId="EncabezadoCar">
    <w:name w:val="Encabezado Car"/>
    <w:basedOn w:val="Fuentedeprrafopredeter"/>
    <w:link w:val="Encabezado"/>
    <w:rsid w:val="000A1782"/>
    <w:rPr>
      <w:rFonts w:ascii="Times New Roman" w:eastAsia="Times New Roman" w:hAnsi="Times New Roman" w:cs="Times New Roman"/>
      <w:sz w:val="24"/>
      <w:szCs w:val="24"/>
      <w:lang w:eastAsia="es-ES"/>
    </w:rPr>
  </w:style>
  <w:style w:type="paragraph" w:styleId="Piedepgina">
    <w:name w:val="footer"/>
    <w:basedOn w:val="Normal"/>
    <w:link w:val="PiedepginaCar"/>
    <w:rsid w:val="000A1782"/>
    <w:pPr>
      <w:tabs>
        <w:tab w:val="center" w:pos="4252"/>
        <w:tab w:val="right" w:pos="8504"/>
      </w:tabs>
    </w:pPr>
  </w:style>
  <w:style w:type="character" w:customStyle="1" w:styleId="PiedepginaCar">
    <w:name w:val="Pie de página Car"/>
    <w:basedOn w:val="Fuentedeprrafopredeter"/>
    <w:link w:val="Piedepgina"/>
    <w:rsid w:val="000A1782"/>
    <w:rPr>
      <w:rFonts w:ascii="Times New Roman" w:eastAsia="Times New Roman" w:hAnsi="Times New Roman" w:cs="Times New Roman"/>
      <w:sz w:val="24"/>
      <w:szCs w:val="24"/>
      <w:lang w:eastAsia="es-ES"/>
    </w:rPr>
  </w:style>
  <w:style w:type="character" w:styleId="Nmerodepgina">
    <w:name w:val="page number"/>
    <w:basedOn w:val="Fuentedeprrafopredeter"/>
    <w:rsid w:val="000A1782"/>
  </w:style>
  <w:style w:type="paragraph" w:styleId="Prrafodelista">
    <w:name w:val="List Paragraph"/>
    <w:basedOn w:val="Normal"/>
    <w:uiPriority w:val="34"/>
    <w:qFormat/>
    <w:rsid w:val="000A1782"/>
    <w:pPr>
      <w:spacing w:after="200"/>
      <w:ind w:left="720"/>
      <w:contextualSpacing/>
    </w:pPr>
    <w:rPr>
      <w:rFonts w:ascii="Cambria" w:eastAsia="Cambria" w:hAnsi="Cambria"/>
      <w:lang w:val="es-ES_tradnl" w:eastAsia="en-US"/>
    </w:rPr>
  </w:style>
  <w:style w:type="paragraph" w:styleId="Textonotapie">
    <w:name w:val="footnote text"/>
    <w:basedOn w:val="Normal"/>
    <w:link w:val="TextonotapieCar"/>
    <w:semiHidden/>
    <w:rsid w:val="000A1782"/>
    <w:rPr>
      <w:sz w:val="20"/>
      <w:szCs w:val="20"/>
      <w:lang w:val="es-ES_tradnl"/>
    </w:rPr>
  </w:style>
  <w:style w:type="character" w:customStyle="1" w:styleId="TextonotapieCar">
    <w:name w:val="Texto nota pie Car"/>
    <w:basedOn w:val="Fuentedeprrafopredeter"/>
    <w:link w:val="Textonotapie"/>
    <w:semiHidden/>
    <w:rsid w:val="000A1782"/>
    <w:rPr>
      <w:rFonts w:ascii="Times New Roman" w:eastAsia="Times New Roman" w:hAnsi="Times New Roman" w:cs="Times New Roman"/>
      <w:sz w:val="20"/>
      <w:szCs w:val="20"/>
      <w:lang w:val="es-ES_tradnl" w:eastAsia="es-ES"/>
    </w:rPr>
  </w:style>
  <w:style w:type="paragraph" w:customStyle="1" w:styleId="Default">
    <w:name w:val="Default"/>
    <w:rsid w:val="000A1782"/>
    <w:pPr>
      <w:autoSpaceDE w:val="0"/>
      <w:autoSpaceDN w:val="0"/>
      <w:adjustRightInd w:val="0"/>
      <w:spacing w:after="0" w:line="240" w:lineRule="auto"/>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12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1849</Words>
  <Characters>10174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Ministerio de Justicia</Company>
  <LinksUpToDate>false</LinksUpToDate>
  <CharactersWithSpaces>12000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 GARCIA,ROSA</dc:creator>
  <cp:lastModifiedBy>ANA</cp:lastModifiedBy>
  <cp:revision>2</cp:revision>
  <dcterms:created xsi:type="dcterms:W3CDTF">2015-11-26T19:00:00Z</dcterms:created>
  <dcterms:modified xsi:type="dcterms:W3CDTF">2015-11-26T19:00:00Z</dcterms:modified>
</cp:coreProperties>
</file>