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C93" w:rsidRDefault="00764C93" w:rsidP="00764C93">
      <w:pPr>
        <w:autoSpaceDE w:val="0"/>
        <w:autoSpaceDN w:val="0"/>
        <w:adjustRightInd w:val="0"/>
        <w:spacing w:line="240" w:lineRule="auto"/>
        <w:jc w:val="both"/>
        <w:rPr>
          <w:rFonts w:cs="Courier New"/>
          <w:szCs w:val="24"/>
        </w:rPr>
      </w:pPr>
    </w:p>
    <w:p w:rsidR="00764C93" w:rsidRDefault="00764C93" w:rsidP="00764C93">
      <w:pPr>
        <w:autoSpaceDE w:val="0"/>
        <w:autoSpaceDN w:val="0"/>
        <w:adjustRightInd w:val="0"/>
        <w:spacing w:line="240" w:lineRule="auto"/>
        <w:jc w:val="center"/>
        <w:rPr>
          <w:rFonts w:cs="Courier New"/>
          <w:szCs w:val="24"/>
        </w:rPr>
      </w:pPr>
    </w:p>
    <w:p w:rsidR="00764C93" w:rsidRDefault="00764C93" w:rsidP="00764C93">
      <w:pPr>
        <w:autoSpaceDE w:val="0"/>
        <w:autoSpaceDN w:val="0"/>
        <w:adjustRightInd w:val="0"/>
        <w:spacing w:line="240" w:lineRule="auto"/>
        <w:jc w:val="center"/>
        <w:rPr>
          <w:rFonts w:cs="Courier New"/>
          <w:szCs w:val="24"/>
        </w:rPr>
      </w:pPr>
      <w:r>
        <w:rPr>
          <w:rFonts w:cs="Courier New"/>
          <w:b/>
          <w:bCs/>
          <w:szCs w:val="24"/>
        </w:rPr>
        <w:t>DECRETO</w:t>
      </w:r>
    </w:p>
    <w:p w:rsidR="00764C93" w:rsidRDefault="00764C93" w:rsidP="00764C93">
      <w:pPr>
        <w:autoSpaceDE w:val="0"/>
        <w:autoSpaceDN w:val="0"/>
        <w:adjustRightInd w:val="0"/>
        <w:spacing w:line="240" w:lineRule="auto"/>
        <w:jc w:val="both"/>
        <w:rPr>
          <w:rFonts w:cs="Courier New"/>
          <w:szCs w:val="24"/>
        </w:rPr>
      </w:pPr>
    </w:p>
    <w:p w:rsidR="00764C93" w:rsidRDefault="00764C93" w:rsidP="00764C93">
      <w:pPr>
        <w:autoSpaceDE w:val="0"/>
        <w:autoSpaceDN w:val="0"/>
        <w:adjustRightInd w:val="0"/>
        <w:spacing w:line="240" w:lineRule="auto"/>
        <w:jc w:val="both"/>
        <w:rPr>
          <w:rFonts w:cs="Courier New"/>
          <w:szCs w:val="24"/>
        </w:rPr>
      </w:pPr>
      <w:r>
        <w:rPr>
          <w:rFonts w:cs="Courier New"/>
          <w:szCs w:val="24"/>
        </w:rPr>
        <w:t>En PONTEVEDRA, a dieciocho de Abril de dos mil trece.</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r>
        <w:rPr>
          <w:rFonts w:cs="Courier New"/>
          <w:b/>
          <w:bCs/>
          <w:szCs w:val="24"/>
        </w:rPr>
        <w:t>ANTECEDENTES DE HECHO</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b/>
          <w:bCs/>
          <w:szCs w:val="24"/>
        </w:rPr>
        <w:t xml:space="preserve">PRIMERO.- </w:t>
      </w:r>
      <w:r>
        <w:rPr>
          <w:rFonts w:cs="Courier New"/>
          <w:szCs w:val="24"/>
        </w:rPr>
        <w:t>Por el pr</w:t>
      </w:r>
      <w:r w:rsidR="00C00E19">
        <w:rPr>
          <w:rFonts w:cs="Courier New"/>
          <w:szCs w:val="24"/>
        </w:rPr>
        <w:t xml:space="preserve">ocurador </w:t>
      </w:r>
      <w:proofErr w:type="spellStart"/>
      <w:r w:rsidR="00C00E19">
        <w:rPr>
          <w:rFonts w:cs="Courier New"/>
          <w:szCs w:val="24"/>
        </w:rPr>
        <w:t>Ppppp</w:t>
      </w:r>
      <w:proofErr w:type="spellEnd"/>
      <w:r>
        <w:rPr>
          <w:rFonts w:cs="Courier New"/>
          <w:szCs w:val="24"/>
        </w:rPr>
        <w:t xml:space="preserve"> se promovió al amparo de lo prevenido en el art. 34 de la Ley de Enjuiciamiento Civil , mediante escrito presentado en el decanato  en 11.04.2013 procedimiento de </w:t>
      </w:r>
      <w:r>
        <w:rPr>
          <w:rFonts w:cs="Courier New"/>
          <w:b/>
          <w:bCs/>
          <w:szCs w:val="24"/>
        </w:rPr>
        <w:t>jura de cuenta</w:t>
      </w:r>
      <w:r w:rsidR="00C00E19">
        <w:rPr>
          <w:rFonts w:cs="Courier New"/>
          <w:szCs w:val="24"/>
        </w:rPr>
        <w:t xml:space="preserve">  frente a  </w:t>
      </w:r>
      <w:proofErr w:type="spellStart"/>
      <w:r w:rsidR="00C00E19">
        <w:rPr>
          <w:rFonts w:cs="Courier New"/>
          <w:szCs w:val="24"/>
        </w:rPr>
        <w:t>xxxxxxxxxxxxx</w:t>
      </w:r>
      <w:proofErr w:type="spellEnd"/>
      <w:r>
        <w:rPr>
          <w:rFonts w:cs="Courier New"/>
          <w:szCs w:val="24"/>
        </w:rPr>
        <w:t>, dimanante de Diligencias Previas 1275/2009 de este juzgado que se encuentra sobreseídas y archivadas por auto de  23.04.2009.</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b/>
          <w:bCs/>
          <w:szCs w:val="24"/>
        </w:rPr>
        <w:t>SEGUNDO.-</w:t>
      </w:r>
      <w:r>
        <w:rPr>
          <w:rFonts w:cs="Courier New"/>
          <w:szCs w:val="24"/>
        </w:rPr>
        <w:t>En la tramitación de los presentes autos se han observado las prescripciones legales de orden procesal.</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r>
        <w:rPr>
          <w:rFonts w:cs="Courier New"/>
          <w:b/>
          <w:bCs/>
          <w:szCs w:val="24"/>
        </w:rPr>
        <w:t>FUNDAMENTOS DE DERECHO</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r>
        <w:rPr>
          <w:rFonts w:cs="Courier New"/>
          <w:b/>
          <w:bCs/>
          <w:szCs w:val="24"/>
        </w:rPr>
        <w:t xml:space="preserve">PRIMERO.-  </w:t>
      </w:r>
      <w:r>
        <w:rPr>
          <w:rFonts w:cs="Courier New"/>
          <w:szCs w:val="24"/>
        </w:rPr>
        <w:t>Exige la  doctrina constitucional de la STC 110/1.993, que el secretario judicial  proceda a la comprobación de los presupuestos de legitimación y competencia, así como la idoneidad de la minuta y la procedencia de los conceptos reclamados, antes de admitir a trámite la jura de cuentas y requerir de pago bajo apercibimiento de apremio al deudor.  Cuyo incumplimiento</w:t>
      </w:r>
      <w:r>
        <w:rPr>
          <w:rFonts w:cs="Courier New"/>
          <w:b/>
          <w:bCs/>
          <w:szCs w:val="24"/>
        </w:rPr>
        <w:t xml:space="preserve">  </w:t>
      </w:r>
      <w:r>
        <w:rPr>
          <w:rFonts w:cs="Courier New"/>
          <w:szCs w:val="24"/>
        </w:rPr>
        <w:t xml:space="preserve">producirá la imposibilidad de continuar el procedimiento si se aprecia la falta de legitimación de las partes, incompetencia funcional del órgano donde se presenta la reclamación, o declara no subsanados los defectos de la cuenta o minuta. </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r>
        <w:rPr>
          <w:rFonts w:cs="Courier New"/>
          <w:b/>
          <w:bCs/>
          <w:szCs w:val="24"/>
        </w:rPr>
        <w:t xml:space="preserve"> </w:t>
      </w:r>
      <w:r>
        <w:rPr>
          <w:rFonts w:cs="Courier New"/>
          <w:b/>
          <w:bCs/>
          <w:szCs w:val="24"/>
        </w:rPr>
        <w:tab/>
        <w:t xml:space="preserve">En cuanto a la LEGITIMACION ACTIVA.- </w:t>
      </w:r>
      <w:r>
        <w:rPr>
          <w:rFonts w:cs="Courier New"/>
          <w:szCs w:val="24"/>
        </w:rPr>
        <w:t xml:space="preserve">La legitimación de las partes ha de ser examinada de oficio, requisito de </w:t>
      </w:r>
      <w:proofErr w:type="spellStart"/>
      <w:r>
        <w:rPr>
          <w:rFonts w:cs="Courier New"/>
          <w:szCs w:val="24"/>
        </w:rPr>
        <w:t>procedibilidad</w:t>
      </w:r>
      <w:proofErr w:type="spellEnd"/>
      <w:r>
        <w:rPr>
          <w:rFonts w:cs="Courier New"/>
          <w:szCs w:val="24"/>
        </w:rPr>
        <w:t xml:space="preserve"> introducido por la jurisprudencia constitucional en la STC 110/1.993. </w:t>
      </w:r>
    </w:p>
    <w:p w:rsidR="00764C93" w:rsidRDefault="00764C93" w:rsidP="00764C93">
      <w:pPr>
        <w:autoSpaceDE w:val="0"/>
        <w:autoSpaceDN w:val="0"/>
        <w:adjustRightInd w:val="0"/>
        <w:spacing w:line="240" w:lineRule="auto"/>
        <w:jc w:val="center"/>
        <w:rPr>
          <w:rFonts w:cs="Courier New"/>
          <w:b/>
          <w:bCs/>
          <w:szCs w:val="24"/>
          <w:u w:val="single"/>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szCs w:val="24"/>
        </w:rPr>
        <w:t>.-Consta en los autos de diligencias previas 1275/2009, la representación procesal del querellante por el procurador demandante Sr</w:t>
      </w:r>
      <w:r w:rsidR="00C00E19">
        <w:rPr>
          <w:rFonts w:cs="Courier New"/>
          <w:szCs w:val="24"/>
        </w:rPr>
        <w:t xml:space="preserve"> </w:t>
      </w:r>
      <w:proofErr w:type="spellStart"/>
      <w:r w:rsidR="00C00E19">
        <w:rPr>
          <w:rFonts w:cs="Courier New"/>
          <w:szCs w:val="24"/>
        </w:rPr>
        <w:t>xxxxxx</w:t>
      </w:r>
      <w:proofErr w:type="spellEnd"/>
      <w:r>
        <w:rPr>
          <w:rFonts w:cs="Courier New"/>
          <w:szCs w:val="24"/>
        </w:rPr>
        <w:t>.</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p>
    <w:p w:rsidR="00764C93" w:rsidRDefault="00764C93" w:rsidP="00764C93">
      <w:pPr>
        <w:autoSpaceDE w:val="0"/>
        <w:autoSpaceDN w:val="0"/>
        <w:adjustRightInd w:val="0"/>
        <w:spacing w:line="240" w:lineRule="auto"/>
        <w:jc w:val="both"/>
        <w:rPr>
          <w:rFonts w:cs="Courier New"/>
          <w:color w:val="000000"/>
          <w:szCs w:val="24"/>
        </w:rPr>
      </w:pPr>
      <w:r>
        <w:rPr>
          <w:rFonts w:cs="Courier New"/>
          <w:b/>
          <w:bCs/>
          <w:szCs w:val="24"/>
        </w:rPr>
        <w:tab/>
        <w:t>En cuanto a la CADUCIDAD Y PRESCRIPCION.-</w:t>
      </w:r>
      <w:r>
        <w:rPr>
          <w:rFonts w:cs="Courier New"/>
          <w:color w:val="000000"/>
          <w:szCs w:val="24"/>
        </w:rPr>
        <w:t xml:space="preserve"> Se tratan la caducidad y </w:t>
      </w:r>
      <w:r w:rsidRPr="00C00E19">
        <w:rPr>
          <w:rFonts w:cs="Courier New"/>
          <w:szCs w:val="24"/>
        </w:rPr>
        <w:t xml:space="preserve">la </w:t>
      </w:r>
      <w:r w:rsidRPr="00C00E19">
        <w:rPr>
          <w:rFonts w:cs="Courier New"/>
          <w:b/>
          <w:bCs/>
          <w:szCs w:val="24"/>
        </w:rPr>
        <w:t>prescripción,</w:t>
      </w:r>
      <w:r w:rsidRPr="00C00E19">
        <w:rPr>
          <w:rFonts w:cs="Courier New"/>
          <w:szCs w:val="24"/>
        </w:rPr>
        <w:t xml:space="preserve"> de dos instituciones de diferente naturaleza, </w:t>
      </w:r>
      <w:r w:rsidRPr="00C00E19">
        <w:rPr>
          <w:rFonts w:cs="Courier New"/>
          <w:i/>
          <w:iCs/>
          <w:szCs w:val="24"/>
        </w:rPr>
        <w:t xml:space="preserve">no excluyendo la una a la </w:t>
      </w:r>
      <w:proofErr w:type="gramStart"/>
      <w:r w:rsidRPr="00C00E19">
        <w:rPr>
          <w:rFonts w:cs="Courier New"/>
          <w:i/>
          <w:iCs/>
          <w:szCs w:val="24"/>
        </w:rPr>
        <w:t xml:space="preserve">otra </w:t>
      </w:r>
      <w:r w:rsidRPr="00C00E19">
        <w:rPr>
          <w:rFonts w:cs="Courier New"/>
          <w:szCs w:val="24"/>
        </w:rPr>
        <w:t>,</w:t>
      </w:r>
      <w:proofErr w:type="gramEnd"/>
      <w:r w:rsidRPr="00C00E19">
        <w:rPr>
          <w:rFonts w:cs="Courier New"/>
          <w:szCs w:val="24"/>
        </w:rPr>
        <w:t xml:space="preserve"> de tal forma que el que la acción pudiese prescribir no impide que se aprecie, incluso de oficio- lo que no acontecería en la </w:t>
      </w:r>
      <w:r w:rsidRPr="00C00E19">
        <w:rPr>
          <w:rFonts w:cs="Courier New"/>
          <w:b/>
          <w:bCs/>
          <w:szCs w:val="24"/>
        </w:rPr>
        <w:t xml:space="preserve">prescripción- </w:t>
      </w:r>
      <w:r w:rsidRPr="00C00E19">
        <w:rPr>
          <w:rFonts w:cs="Courier New"/>
          <w:szCs w:val="24"/>
        </w:rPr>
        <w:t xml:space="preserve"> </w:t>
      </w:r>
      <w:r>
        <w:rPr>
          <w:rFonts w:cs="Courier New"/>
          <w:color w:val="000000"/>
          <w:szCs w:val="24"/>
        </w:rPr>
        <w:t>la caducidad de la instancia.</w:t>
      </w:r>
    </w:p>
    <w:p w:rsidR="00764C93" w:rsidRDefault="00764C93" w:rsidP="00764C93">
      <w:pPr>
        <w:autoSpaceDE w:val="0"/>
        <w:autoSpaceDN w:val="0"/>
        <w:adjustRightInd w:val="0"/>
        <w:spacing w:before="100" w:after="100" w:line="240" w:lineRule="auto"/>
        <w:jc w:val="both"/>
        <w:rPr>
          <w:rFonts w:cs="Courier New"/>
          <w:szCs w:val="24"/>
        </w:rPr>
      </w:pPr>
      <w:r>
        <w:rPr>
          <w:rFonts w:cs="Courier New"/>
          <w:szCs w:val="24"/>
        </w:rPr>
        <w:t>L</w:t>
      </w:r>
      <w:r>
        <w:rPr>
          <w:rFonts w:cs="Courier New"/>
          <w:color w:val="000000"/>
          <w:szCs w:val="24"/>
        </w:rPr>
        <w:t xml:space="preserve">a STC de 25 de marzo de </w:t>
      </w:r>
      <w:proofErr w:type="gramStart"/>
      <w:r>
        <w:rPr>
          <w:rFonts w:cs="Courier New"/>
          <w:color w:val="000000"/>
          <w:szCs w:val="24"/>
        </w:rPr>
        <w:t>1993 ,</w:t>
      </w:r>
      <w:proofErr w:type="gramEnd"/>
      <w:r>
        <w:rPr>
          <w:rFonts w:cs="Courier New"/>
          <w:color w:val="000000"/>
          <w:szCs w:val="24"/>
        </w:rPr>
        <w:t xml:space="preserve"> señalando que la </w:t>
      </w:r>
      <w:proofErr w:type="spellStart"/>
      <w:r>
        <w:rPr>
          <w:rFonts w:cs="Courier New"/>
          <w:color w:val="000000"/>
          <w:szCs w:val="24"/>
        </w:rPr>
        <w:t>sumariedad</w:t>
      </w:r>
      <w:proofErr w:type="spellEnd"/>
      <w:r>
        <w:rPr>
          <w:rFonts w:cs="Courier New"/>
          <w:color w:val="000000"/>
          <w:szCs w:val="24"/>
        </w:rPr>
        <w:t xml:space="preserve"> de la jura de cuentas no impide los  mecanismos de defensa ejercitables en la oposición para garantizar el derecho </w:t>
      </w:r>
      <w:r>
        <w:rPr>
          <w:rFonts w:cs="Courier New"/>
          <w:color w:val="000000"/>
          <w:szCs w:val="24"/>
        </w:rPr>
        <w:lastRenderedPageBreak/>
        <w:t xml:space="preserve">constitucional a la tutela judicial efectiva,  el pago o </w:t>
      </w:r>
      <w:r w:rsidRPr="00C00E19">
        <w:rPr>
          <w:rFonts w:cs="Courier New"/>
          <w:b/>
          <w:bCs/>
          <w:szCs w:val="24"/>
        </w:rPr>
        <w:t>prescripción</w:t>
      </w:r>
      <w:r w:rsidRPr="00C00E19">
        <w:rPr>
          <w:rFonts w:cs="Courier New"/>
          <w:szCs w:val="24"/>
        </w:rPr>
        <w:t xml:space="preserve">, unas de las alegaciones de oposición permitidas,( doctrina reiterada en SS del mismo Tribunal de 27 de enero y 10 de febrero de 1997) , tomando como </w:t>
      </w:r>
      <w:proofErr w:type="spellStart"/>
      <w:r w:rsidRPr="00C00E19">
        <w:rPr>
          <w:rFonts w:cs="Courier New"/>
          <w:szCs w:val="24"/>
        </w:rPr>
        <w:t>dies</w:t>
      </w:r>
      <w:proofErr w:type="spellEnd"/>
      <w:r w:rsidRPr="00C00E19">
        <w:rPr>
          <w:rFonts w:cs="Courier New"/>
          <w:szCs w:val="24"/>
        </w:rPr>
        <w:t xml:space="preserve"> a quo el momento en que los servicios dejaron de presentarse. Seria por tanto el plazo de prescripción   TRES AÑOS que establece el art. 1967.1 del Código </w:t>
      </w:r>
      <w:proofErr w:type="gramStart"/>
      <w:r w:rsidRPr="00C00E19">
        <w:rPr>
          <w:rFonts w:cs="Courier New"/>
          <w:szCs w:val="24"/>
        </w:rPr>
        <w:t>Civil ,y</w:t>
      </w:r>
      <w:proofErr w:type="gramEnd"/>
      <w:r w:rsidRPr="00C00E19">
        <w:rPr>
          <w:rFonts w:cs="Courier New"/>
          <w:szCs w:val="24"/>
        </w:rPr>
        <w:t xml:space="preserve">  que empieza a computarse desde la fecha de la última diligencia que aparezca en los autos de que la cuenta proceda. Por la prescripción </w:t>
      </w:r>
      <w:r>
        <w:rPr>
          <w:rFonts w:cs="Courier New"/>
          <w:szCs w:val="24"/>
        </w:rPr>
        <w:t xml:space="preserve">se extingue los derechos y las acciones de cualquier clase que sean, según señala el art.1930 de </w:t>
      </w:r>
      <w:proofErr w:type="spellStart"/>
      <w:r>
        <w:rPr>
          <w:rFonts w:cs="Courier New"/>
          <w:szCs w:val="24"/>
        </w:rPr>
        <w:t>Codigo</w:t>
      </w:r>
      <w:proofErr w:type="spellEnd"/>
      <w:r>
        <w:rPr>
          <w:rFonts w:cs="Courier New"/>
          <w:szCs w:val="24"/>
        </w:rPr>
        <w:t xml:space="preserve"> </w:t>
      </w:r>
      <w:proofErr w:type="gramStart"/>
      <w:r>
        <w:rPr>
          <w:rFonts w:cs="Courier New"/>
          <w:szCs w:val="24"/>
        </w:rPr>
        <w:t>Civil .</w:t>
      </w:r>
      <w:proofErr w:type="gramEnd"/>
    </w:p>
    <w:p w:rsidR="00764C93" w:rsidRDefault="00764C93" w:rsidP="00764C93">
      <w:pPr>
        <w:autoSpaceDE w:val="0"/>
        <w:autoSpaceDN w:val="0"/>
        <w:adjustRightInd w:val="0"/>
        <w:spacing w:before="100" w:after="100" w:line="240" w:lineRule="auto"/>
        <w:jc w:val="both"/>
        <w:rPr>
          <w:rFonts w:cs="Courier New"/>
          <w:szCs w:val="24"/>
        </w:rPr>
      </w:pPr>
      <w:r>
        <w:rPr>
          <w:rFonts w:cs="Courier New"/>
          <w:szCs w:val="24"/>
        </w:rPr>
        <w:t>Para la solicitud de prescripción queda resuelto por el Tribunal Supremo en sus Sentencias de 15/11/96 y Auto de 10/02/2000,  que el plazo de tres años de prescripción para reclamar  comenzará a contarse desde la última diligencia practicada en el procedimiento</w:t>
      </w:r>
    </w:p>
    <w:p w:rsidR="00764C93" w:rsidRDefault="00764C93" w:rsidP="00764C93">
      <w:pPr>
        <w:autoSpaceDE w:val="0"/>
        <w:autoSpaceDN w:val="0"/>
        <w:adjustRightInd w:val="0"/>
        <w:spacing w:line="240" w:lineRule="auto"/>
        <w:rPr>
          <w:rFonts w:cs="Courier New"/>
          <w:color w:val="000000"/>
          <w:szCs w:val="24"/>
        </w:rPr>
      </w:pPr>
    </w:p>
    <w:p w:rsidR="00764C93" w:rsidRDefault="00764C93" w:rsidP="00764C93">
      <w:pPr>
        <w:autoSpaceDE w:val="0"/>
        <w:autoSpaceDN w:val="0"/>
        <w:adjustRightInd w:val="0"/>
        <w:spacing w:line="240" w:lineRule="auto"/>
        <w:jc w:val="both"/>
        <w:rPr>
          <w:rFonts w:cs="Courier New"/>
          <w:color w:val="000000"/>
          <w:szCs w:val="24"/>
        </w:rPr>
      </w:pPr>
      <w:r w:rsidRPr="00C00E19">
        <w:rPr>
          <w:rFonts w:cs="Courier New"/>
          <w:szCs w:val="24"/>
        </w:rPr>
        <w:t xml:space="preserve">Cosa distinta es que podemos apreciar la estimación de oficio de la </w:t>
      </w:r>
      <w:r w:rsidRPr="00C00E19">
        <w:rPr>
          <w:rFonts w:cs="Courier New"/>
          <w:b/>
          <w:bCs/>
          <w:szCs w:val="24"/>
        </w:rPr>
        <w:t>caducidad</w:t>
      </w:r>
      <w:r w:rsidRPr="00C00E19">
        <w:rPr>
          <w:rFonts w:cs="Courier New"/>
          <w:szCs w:val="24"/>
        </w:rPr>
        <w:t xml:space="preserve">, y es  que el procedimiento de </w:t>
      </w:r>
      <w:r w:rsidRPr="00C00E19">
        <w:rPr>
          <w:rFonts w:cs="Courier New"/>
          <w:b/>
          <w:bCs/>
          <w:szCs w:val="24"/>
        </w:rPr>
        <w:t xml:space="preserve">jura </w:t>
      </w:r>
      <w:r w:rsidRPr="00C00E19">
        <w:rPr>
          <w:rFonts w:cs="Courier New"/>
          <w:szCs w:val="24"/>
        </w:rPr>
        <w:t xml:space="preserve">de </w:t>
      </w:r>
      <w:r w:rsidRPr="00C00E19">
        <w:rPr>
          <w:rFonts w:cs="Courier New"/>
          <w:b/>
          <w:bCs/>
          <w:szCs w:val="24"/>
        </w:rPr>
        <w:t>cuenta</w:t>
      </w:r>
      <w:r w:rsidRPr="00C00E19">
        <w:rPr>
          <w:rFonts w:cs="Courier New"/>
          <w:szCs w:val="24"/>
        </w:rPr>
        <w:t xml:space="preserve">, va inherente al propio proceso en que se hayan devengado los derechos, así se extrae del contenido del art. 34 LEC , viniendo a  constituir un incidente dentro proceso principal y siendo ello que haya de estar sujeto a la </w:t>
      </w:r>
      <w:r w:rsidRPr="00C00E19">
        <w:rPr>
          <w:rFonts w:cs="Courier New"/>
          <w:b/>
          <w:bCs/>
          <w:szCs w:val="24"/>
        </w:rPr>
        <w:t xml:space="preserve">caducidad </w:t>
      </w:r>
      <w:r w:rsidRPr="00C00E19">
        <w:rPr>
          <w:rFonts w:cs="Courier New"/>
          <w:szCs w:val="24"/>
        </w:rPr>
        <w:t xml:space="preserve">que se contempla en el art. 237 </w:t>
      </w:r>
      <w:proofErr w:type="spellStart"/>
      <w:r w:rsidRPr="00C00E19">
        <w:rPr>
          <w:rFonts w:cs="Courier New"/>
          <w:szCs w:val="24"/>
        </w:rPr>
        <w:t>Lec</w:t>
      </w:r>
      <w:proofErr w:type="spellEnd"/>
      <w:r w:rsidRPr="00C00E19">
        <w:rPr>
          <w:rFonts w:cs="Courier New"/>
          <w:szCs w:val="24"/>
        </w:rPr>
        <w:t xml:space="preserve">, por lo que siendo de aplicación la </w:t>
      </w:r>
      <w:r w:rsidRPr="00C00E19">
        <w:rPr>
          <w:rFonts w:cs="Courier New"/>
          <w:b/>
          <w:bCs/>
          <w:szCs w:val="24"/>
        </w:rPr>
        <w:t>caducidad</w:t>
      </w:r>
      <w:r w:rsidRPr="00C00E19">
        <w:rPr>
          <w:rFonts w:cs="Courier New"/>
          <w:szCs w:val="24"/>
        </w:rPr>
        <w:t xml:space="preserve">, que hayamos de examinar el </w:t>
      </w:r>
      <w:proofErr w:type="spellStart"/>
      <w:r w:rsidRPr="00C00E19">
        <w:rPr>
          <w:rFonts w:cs="Courier New"/>
          <w:szCs w:val="24"/>
        </w:rPr>
        <w:t>dies</w:t>
      </w:r>
      <w:proofErr w:type="spellEnd"/>
      <w:r w:rsidRPr="00C00E19">
        <w:rPr>
          <w:rFonts w:cs="Courier New"/>
          <w:szCs w:val="24"/>
        </w:rPr>
        <w:t xml:space="preserve"> a quo, cual el comienzo de la inactividad procesal, y examinadas las Diligencias Previas del que dimana, aparece  diligencia de constancia de archivo de 11-01-2010, última actuación y  siendo que la solicitud de </w:t>
      </w:r>
      <w:r w:rsidRPr="00C00E19">
        <w:rPr>
          <w:rFonts w:cs="Courier New"/>
          <w:b/>
          <w:bCs/>
          <w:szCs w:val="24"/>
        </w:rPr>
        <w:t xml:space="preserve">jura </w:t>
      </w:r>
      <w:r w:rsidRPr="00C00E19">
        <w:rPr>
          <w:rFonts w:cs="Courier New"/>
          <w:szCs w:val="24"/>
        </w:rPr>
        <w:t xml:space="preserve">se presenta,  en fecha 11 de abril de 2013, esto es transcurrido </w:t>
      </w:r>
      <w:r w:rsidRPr="00C00E19">
        <w:rPr>
          <w:rFonts w:cs="Courier New"/>
          <w:b/>
          <w:szCs w:val="24"/>
        </w:rPr>
        <w:t xml:space="preserve">el plazo de </w:t>
      </w:r>
      <w:r w:rsidRPr="00C00E19">
        <w:rPr>
          <w:rFonts w:cs="Courier New"/>
          <w:b/>
          <w:bCs/>
          <w:szCs w:val="24"/>
        </w:rPr>
        <w:t xml:space="preserve">caducidad </w:t>
      </w:r>
      <w:r w:rsidRPr="00C00E19">
        <w:rPr>
          <w:rFonts w:cs="Courier New"/>
          <w:b/>
          <w:szCs w:val="24"/>
        </w:rPr>
        <w:t>que contempla el citado art. 237 - dos años</w:t>
      </w:r>
      <w:r w:rsidRPr="00C00E19">
        <w:rPr>
          <w:rFonts w:cs="Courier New"/>
          <w:szCs w:val="24"/>
        </w:rPr>
        <w:t xml:space="preserve">- , plazo de </w:t>
      </w:r>
      <w:r w:rsidRPr="00C00E19">
        <w:rPr>
          <w:rFonts w:cs="Courier New"/>
          <w:b/>
          <w:bCs/>
          <w:szCs w:val="24"/>
        </w:rPr>
        <w:t xml:space="preserve">caducidad </w:t>
      </w:r>
      <w:r w:rsidRPr="00C00E19">
        <w:rPr>
          <w:rFonts w:cs="Courier New"/>
          <w:szCs w:val="24"/>
        </w:rPr>
        <w:t xml:space="preserve">que </w:t>
      </w:r>
      <w:r>
        <w:rPr>
          <w:rFonts w:cs="Courier New"/>
          <w:color w:val="000000"/>
          <w:szCs w:val="24"/>
        </w:rPr>
        <w:t>no admite interrupción por actividades extraprocesales .</w:t>
      </w:r>
    </w:p>
    <w:p w:rsidR="00C00E19" w:rsidRDefault="00C00E19" w:rsidP="00764C93">
      <w:pPr>
        <w:autoSpaceDE w:val="0"/>
        <w:autoSpaceDN w:val="0"/>
        <w:adjustRightInd w:val="0"/>
        <w:spacing w:line="240" w:lineRule="auto"/>
        <w:jc w:val="both"/>
        <w:rPr>
          <w:rFonts w:cs="Courier New"/>
          <w:color w:val="000000"/>
          <w:szCs w:val="24"/>
        </w:rPr>
      </w:pPr>
    </w:p>
    <w:p w:rsidR="00764C93" w:rsidRDefault="00764C93" w:rsidP="00764C93">
      <w:pPr>
        <w:autoSpaceDE w:val="0"/>
        <w:autoSpaceDN w:val="0"/>
        <w:adjustRightInd w:val="0"/>
        <w:spacing w:line="240" w:lineRule="auto"/>
        <w:jc w:val="both"/>
        <w:rPr>
          <w:rFonts w:cs="Courier New"/>
          <w:color w:val="000000"/>
          <w:szCs w:val="24"/>
        </w:rPr>
      </w:pPr>
      <w:r>
        <w:rPr>
          <w:rFonts w:cs="Courier New"/>
          <w:color w:val="000000"/>
          <w:szCs w:val="24"/>
        </w:rPr>
        <w:t xml:space="preserve">Y siendo aplicable el </w:t>
      </w:r>
      <w:r>
        <w:rPr>
          <w:rFonts w:cs="Courier New"/>
          <w:szCs w:val="24"/>
        </w:rPr>
        <w:t xml:space="preserve"> artículo 237 LEC  a las solicitudes de jura de cuenta, puesto que aunque los artículos 34 y 35 </w:t>
      </w:r>
      <w:proofErr w:type="gramStart"/>
      <w:r>
        <w:rPr>
          <w:rFonts w:cs="Courier New"/>
          <w:szCs w:val="24"/>
        </w:rPr>
        <w:t>LEC ,</w:t>
      </w:r>
      <w:proofErr w:type="gramEnd"/>
      <w:r>
        <w:rPr>
          <w:rFonts w:cs="Courier New"/>
          <w:szCs w:val="24"/>
        </w:rPr>
        <w:t xml:space="preserve"> como antes el artículo 411 LEC 1881 , no fijan un límite temporal para su presentación, la naturaleza incidental de la jura de cuenta respecto del procedimiento principal del que trae causa exige que la cuestión de la caducidad se examine con referencia a dicho procedimiento.</w:t>
      </w:r>
    </w:p>
    <w:p w:rsidR="00764C93" w:rsidRDefault="00764C93" w:rsidP="00764C93">
      <w:pPr>
        <w:autoSpaceDE w:val="0"/>
        <w:autoSpaceDN w:val="0"/>
        <w:adjustRightInd w:val="0"/>
        <w:spacing w:line="240" w:lineRule="auto"/>
        <w:rPr>
          <w:rFonts w:ascii="Times New Roman" w:hAnsi="Times New Roman"/>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i/>
          <w:sz w:val="22"/>
          <w:szCs w:val="22"/>
        </w:rPr>
      </w:pPr>
      <w:r>
        <w:rPr>
          <w:rFonts w:cs="Courier New"/>
          <w:b/>
          <w:bCs/>
          <w:szCs w:val="24"/>
        </w:rPr>
        <w:t xml:space="preserve">SEGUNDO.-  </w:t>
      </w:r>
      <w:r>
        <w:rPr>
          <w:rFonts w:cs="Courier New"/>
          <w:bCs/>
          <w:szCs w:val="24"/>
        </w:rPr>
        <w:t>Habiendo transcurrido</w:t>
      </w:r>
      <w:r>
        <w:rPr>
          <w:rFonts w:cs="Courier New"/>
          <w:b/>
          <w:bCs/>
          <w:szCs w:val="24"/>
        </w:rPr>
        <w:t xml:space="preserve"> </w:t>
      </w:r>
      <w:proofErr w:type="spellStart"/>
      <w:r>
        <w:rPr>
          <w:rFonts w:cs="Courier New"/>
          <w:b/>
          <w:bCs/>
          <w:szCs w:val="24"/>
        </w:rPr>
        <w:t>mas</w:t>
      </w:r>
      <w:proofErr w:type="spellEnd"/>
      <w:r>
        <w:rPr>
          <w:rFonts w:cs="Courier New"/>
          <w:b/>
          <w:bCs/>
          <w:szCs w:val="24"/>
        </w:rPr>
        <w:t xml:space="preserve"> de dos años </w:t>
      </w:r>
      <w:r>
        <w:rPr>
          <w:rFonts w:cs="Courier New"/>
          <w:bCs/>
          <w:szCs w:val="24"/>
        </w:rPr>
        <w:t xml:space="preserve">desde la última resolución de las diligencias previas  1275/2009 de las que dimana la solicitud de este procedimiento </w:t>
      </w:r>
      <w:r>
        <w:rPr>
          <w:rFonts w:cs="Courier New"/>
          <w:b/>
          <w:bCs/>
          <w:szCs w:val="24"/>
        </w:rPr>
        <w:t>procede declarar caducada la instancia</w:t>
      </w:r>
      <w:r>
        <w:rPr>
          <w:rFonts w:cs="Courier New"/>
          <w:bCs/>
          <w:szCs w:val="24"/>
        </w:rPr>
        <w:t xml:space="preserve"> </w:t>
      </w:r>
      <w:r>
        <w:rPr>
          <w:rFonts w:cs="Courier New"/>
          <w:szCs w:val="24"/>
        </w:rPr>
        <w:t xml:space="preserve">conforme a los artículos 34 y  35, 237 y 240 LEC y los autos TS de fechas 25 mayo y 22 de junio 2010, auto de  la AP de Madrid, </w:t>
      </w:r>
      <w:proofErr w:type="spellStart"/>
      <w:r>
        <w:rPr>
          <w:rFonts w:cs="Courier New"/>
          <w:szCs w:val="24"/>
        </w:rPr>
        <w:t>Sº</w:t>
      </w:r>
      <w:proofErr w:type="spellEnd"/>
      <w:r>
        <w:rPr>
          <w:rFonts w:cs="Courier New"/>
          <w:szCs w:val="24"/>
        </w:rPr>
        <w:t xml:space="preserve"> 19, de </w:t>
      </w:r>
      <w:r>
        <w:rPr>
          <w:rFonts w:cs="Courier New"/>
          <w:szCs w:val="24"/>
        </w:rPr>
        <w:lastRenderedPageBreak/>
        <w:t xml:space="preserve">17/10/2012 y Auto  AP de Castellón de la Plana de 18/04/2011. Asimismo, el  Tribunal Supremo, en los autos de 13/02/2007, con cita del de 27/02/2006 y 5/05/2009, entre otros, se ha pronunciado a favor de la aplicación de este precepto a las solicitudes de Juras de Cuentas, pues aunque los artículos 34 y 35 de la LEC no fijan un límite temporal para su presentación, la naturaleza incidental de la Jura de Cuentas respecto del procedimiento principal del que trae causa exige que la cuestión de la caducidad se examine con referencia a dicho procedimiento, además de  </w:t>
      </w:r>
      <w:r>
        <w:rPr>
          <w:rFonts w:cs="Courier New"/>
          <w:sz w:val="22"/>
          <w:szCs w:val="22"/>
        </w:rPr>
        <w:t>"</w:t>
      </w:r>
      <w:r>
        <w:rPr>
          <w:rFonts w:cs="Courier New"/>
          <w:i/>
          <w:sz w:val="22"/>
          <w:szCs w:val="22"/>
        </w:rPr>
        <w:t xml:space="preserve">pensar que el silencio de la LEC al respecto supone que no existe ese límite temporal puede resultar absurdo al intérprete, en cuanto se contradice con la propia justificación de su existencia, si el legislador establece un trámite privilegiado, afectado por el principio de </w:t>
      </w:r>
      <w:proofErr w:type="spellStart"/>
      <w:r>
        <w:rPr>
          <w:rFonts w:cs="Courier New"/>
          <w:i/>
          <w:sz w:val="22"/>
          <w:szCs w:val="22"/>
        </w:rPr>
        <w:t>sumariedad</w:t>
      </w:r>
      <w:proofErr w:type="spellEnd"/>
      <w:r>
        <w:rPr>
          <w:rFonts w:cs="Courier New"/>
          <w:i/>
          <w:sz w:val="22"/>
          <w:szCs w:val="22"/>
        </w:rPr>
        <w:t>, en atención, precisamente, a posibilitar el cobro inmediato, resulta una conclusión ilógica pensar que pueda ser promovido en cualquier momento posterior al litigio, sine die"</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szCs w:val="24"/>
        </w:rPr>
        <w:t xml:space="preserve">La apreciación de la caducidad de la instancia implica la no admisión a trámite de la solicitud de incoación de procedimiento de jura de cuentas </w:t>
      </w:r>
      <w:r>
        <w:rPr>
          <w:rFonts w:cs="Courier New"/>
          <w:bCs/>
          <w:szCs w:val="24"/>
          <w:u w:val="single"/>
        </w:rPr>
        <w:t>y</w:t>
      </w:r>
      <w:r>
        <w:rPr>
          <w:rFonts w:cs="Courier New"/>
          <w:b/>
          <w:bCs/>
          <w:szCs w:val="24"/>
          <w:u w:val="single"/>
        </w:rPr>
        <w:t xml:space="preserve"> </w:t>
      </w:r>
      <w:r>
        <w:rPr>
          <w:rFonts w:cs="Courier New"/>
          <w:szCs w:val="24"/>
          <w:u w:val="single"/>
        </w:rPr>
        <w:t xml:space="preserve"> lo es sin perjuicio de las acciones que le pueda corresponder a la actora ejercitar en la vía civil </w:t>
      </w:r>
      <w:r>
        <w:rPr>
          <w:rFonts w:cs="Courier New"/>
          <w:i/>
          <w:szCs w:val="24"/>
          <w:u w:val="single"/>
        </w:rPr>
        <w:t xml:space="preserve">ordinaria </w:t>
      </w:r>
      <w:r>
        <w:rPr>
          <w:rFonts w:cs="Courier New"/>
          <w:i/>
          <w:sz w:val="22"/>
          <w:szCs w:val="22"/>
        </w:rPr>
        <w:t xml:space="preserve">  "con independencia de que el crédito del procurador sigue latente en tanto no se produzca la prescripción y por tanto puede reclamarlo en el procedimiento civil correspondiente" </w:t>
      </w:r>
      <w:r>
        <w:rPr>
          <w:rFonts w:cs="Courier New"/>
          <w:szCs w:val="24"/>
        </w:rPr>
        <w:t>auto de AP</w:t>
      </w:r>
      <w:r w:rsidR="00C00E19">
        <w:rPr>
          <w:rFonts w:cs="Courier New"/>
          <w:szCs w:val="24"/>
        </w:rPr>
        <w:t xml:space="preserve"> </w:t>
      </w:r>
      <w:r>
        <w:rPr>
          <w:rFonts w:cs="Courier New"/>
          <w:szCs w:val="24"/>
        </w:rPr>
        <w:t xml:space="preserve">de </w:t>
      </w:r>
      <w:proofErr w:type="spellStart"/>
      <w:r>
        <w:rPr>
          <w:rFonts w:cs="Courier New"/>
          <w:szCs w:val="24"/>
        </w:rPr>
        <w:t>Cadiz</w:t>
      </w:r>
      <w:proofErr w:type="spellEnd"/>
      <w:r>
        <w:rPr>
          <w:rFonts w:cs="Courier New"/>
          <w:szCs w:val="24"/>
        </w:rPr>
        <w:t xml:space="preserve"> Sº5ªde 10.11.2009.</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szCs w:val="24"/>
        </w:rPr>
        <w:t>Vistos los preceptos legales citados y demás de general y pertinente aplicación,</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r>
        <w:rPr>
          <w:rFonts w:cs="Courier New"/>
          <w:b/>
          <w:bCs/>
          <w:szCs w:val="24"/>
        </w:rPr>
        <w:t>PARTE DISPOSITIVA</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b/>
          <w:bCs/>
          <w:szCs w:val="24"/>
        </w:rPr>
        <w:t xml:space="preserve">Se declara caducada la instancia, y la </w:t>
      </w:r>
      <w:proofErr w:type="spellStart"/>
      <w:r>
        <w:rPr>
          <w:rFonts w:cs="Courier New"/>
          <w:b/>
          <w:bCs/>
          <w:szCs w:val="24"/>
        </w:rPr>
        <w:t>inadmision</w:t>
      </w:r>
      <w:proofErr w:type="spellEnd"/>
      <w:r>
        <w:rPr>
          <w:rFonts w:cs="Courier New"/>
          <w:b/>
          <w:bCs/>
          <w:szCs w:val="24"/>
        </w:rPr>
        <w:t xml:space="preserve"> a </w:t>
      </w:r>
      <w:proofErr w:type="spellStart"/>
      <w:proofErr w:type="gramStart"/>
      <w:r>
        <w:rPr>
          <w:rFonts w:cs="Courier New"/>
          <w:b/>
          <w:bCs/>
          <w:szCs w:val="24"/>
        </w:rPr>
        <w:t>tramite</w:t>
      </w:r>
      <w:proofErr w:type="spellEnd"/>
      <w:proofErr w:type="gramEnd"/>
      <w:r>
        <w:rPr>
          <w:rFonts w:cs="Courier New"/>
          <w:b/>
          <w:bCs/>
          <w:szCs w:val="24"/>
        </w:rPr>
        <w:t xml:space="preserve"> </w:t>
      </w:r>
      <w:r>
        <w:rPr>
          <w:rFonts w:cs="Courier New"/>
          <w:szCs w:val="24"/>
        </w:rPr>
        <w:t xml:space="preserve">de la solicitud de jura de cuentas efectuada por el procurador </w:t>
      </w:r>
      <w:proofErr w:type="spellStart"/>
      <w:r>
        <w:rPr>
          <w:rFonts w:cs="Courier New"/>
          <w:szCs w:val="24"/>
        </w:rPr>
        <w:t>P</w:t>
      </w:r>
      <w:r w:rsidR="00C00E19">
        <w:rPr>
          <w:rFonts w:cs="Courier New"/>
          <w:szCs w:val="24"/>
        </w:rPr>
        <w:t>pppppppppppp</w:t>
      </w:r>
      <w:proofErr w:type="spellEnd"/>
      <w:r>
        <w:rPr>
          <w:rFonts w:cs="Courier New"/>
          <w:szCs w:val="24"/>
        </w:rPr>
        <w:t xml:space="preserve"> contra </w:t>
      </w:r>
      <w:proofErr w:type="spellStart"/>
      <w:r w:rsidR="00C00E19">
        <w:rPr>
          <w:rFonts w:cs="Courier New"/>
          <w:szCs w:val="24"/>
        </w:rPr>
        <w:t>mmmmmmmmmmmmmmm</w:t>
      </w:r>
      <w:proofErr w:type="spellEnd"/>
      <w:r>
        <w:rPr>
          <w:rFonts w:cs="Courier New"/>
          <w:szCs w:val="24"/>
        </w:rPr>
        <w:t>, sin hacer expresa imposición de costas.</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r>
        <w:rPr>
          <w:rFonts w:cs="Courier New"/>
          <w:szCs w:val="24"/>
        </w:rPr>
        <w:t xml:space="preserve">Archívese </w:t>
      </w:r>
      <w:r w:rsidR="00C00E19">
        <w:rPr>
          <w:rFonts w:cs="Courier New"/>
          <w:szCs w:val="24"/>
        </w:rPr>
        <w:t xml:space="preserve">la pieza </w:t>
      </w:r>
      <w:r>
        <w:rPr>
          <w:rFonts w:cs="Courier New"/>
          <w:szCs w:val="24"/>
        </w:rPr>
        <w:t xml:space="preserve"> de solicitud de jura de cuentas </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szCs w:val="24"/>
        </w:rPr>
      </w:pP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r>
        <w:rPr>
          <w:rFonts w:cs="Courier New"/>
          <w:szCs w:val="24"/>
        </w:rPr>
        <w:t>Notifíquese el presente Decreto a las partes.</w:t>
      </w:r>
    </w:p>
    <w:p w:rsidR="00764C93" w:rsidRDefault="00764C93" w:rsidP="00764C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cs="Courier New"/>
          <w:b/>
          <w:bCs/>
          <w:szCs w:val="24"/>
        </w:rPr>
      </w:pPr>
    </w:p>
    <w:p w:rsidR="00764C93" w:rsidRDefault="00764C93" w:rsidP="00764C93">
      <w:pPr>
        <w:autoSpaceDE w:val="0"/>
        <w:autoSpaceDN w:val="0"/>
        <w:adjustRightInd w:val="0"/>
        <w:spacing w:line="240" w:lineRule="auto"/>
        <w:jc w:val="both"/>
        <w:rPr>
          <w:rFonts w:cs="Courier New"/>
          <w:szCs w:val="24"/>
        </w:rPr>
      </w:pPr>
      <w:r>
        <w:rPr>
          <w:rFonts w:cs="Courier New"/>
          <w:b/>
          <w:bCs/>
          <w:szCs w:val="24"/>
        </w:rPr>
        <w:t>MODO DE IMPUGNACIÓN:</w:t>
      </w:r>
      <w:r>
        <w:rPr>
          <w:rFonts w:cs="Courier New"/>
          <w:szCs w:val="24"/>
        </w:rPr>
        <w:t xml:space="preserve"> contra esta resolución cabe interponer </w:t>
      </w:r>
      <w:r>
        <w:rPr>
          <w:rFonts w:cs="Courier New"/>
          <w:b/>
          <w:bCs/>
          <w:szCs w:val="24"/>
          <w:u w:val="single"/>
        </w:rPr>
        <w:t>recurso directo de revisión</w:t>
      </w:r>
      <w:r>
        <w:rPr>
          <w:rFonts w:cs="Courier New"/>
          <w:szCs w:val="24"/>
        </w:rPr>
        <w:t xml:space="preserve">, que deberá interponerse en el plazo de cinco días mediante escrito en el que deberá citarse la infracción en que la resolución hubiere incurrido, (art. 454 bis LEC). El recurso deberá interponerse por escrito en el plazo de </w:t>
      </w:r>
      <w:r>
        <w:rPr>
          <w:rFonts w:cs="Courier New"/>
          <w:b/>
          <w:bCs/>
          <w:szCs w:val="24"/>
        </w:rPr>
        <w:t>CINCO DÍAS</w:t>
      </w:r>
      <w:r>
        <w:rPr>
          <w:rFonts w:cs="Courier New"/>
          <w:szCs w:val="24"/>
        </w:rPr>
        <w:t xml:space="preserve"> hábiles contados desde el siguiente de la notificación, con expresión de la infracción cometida a juicio del recurrente y, deberá constituir y acreditar al tiempo de la interposición el DEPÓSITO para recurrir de VEINTICINCO EUROS, mediante su ingreso en la Cuenta de Consignaciones nº 3582 0000 76 0133 09 de este juzgado, salvo que el </w:t>
      </w:r>
      <w:r>
        <w:rPr>
          <w:rFonts w:cs="Courier New"/>
          <w:szCs w:val="24"/>
        </w:rPr>
        <w:lastRenderedPageBreak/>
        <w:t>recurrente sea: beneficiario de justicia gratuita, el Ministerio Fiscal, el Estado, Comunidad Autónoma, entidad local u organismo autónomo dependiente. Sin cuyos requisitos NO SE ADMITIRÁ A TRÁMITE el recurso, y todo ello conforme a lo dispuesto en los arts. 451, 452 y concordantes LEC y la Disposición Adicional Decimoquinta de la LOPJ.</w:t>
      </w:r>
    </w:p>
    <w:p w:rsidR="00764C93" w:rsidRDefault="00764C93" w:rsidP="00764C93">
      <w:pPr>
        <w:tabs>
          <w:tab w:val="left" w:pos="9072"/>
        </w:tabs>
        <w:autoSpaceDE w:val="0"/>
        <w:autoSpaceDN w:val="0"/>
        <w:adjustRightInd w:val="0"/>
        <w:spacing w:line="240" w:lineRule="auto"/>
        <w:jc w:val="both"/>
        <w:rPr>
          <w:rFonts w:cs="Courier New"/>
          <w:szCs w:val="24"/>
        </w:rPr>
      </w:pPr>
    </w:p>
    <w:p w:rsidR="00764C93" w:rsidRDefault="00764C93" w:rsidP="00764C93">
      <w:pPr>
        <w:autoSpaceDE w:val="0"/>
        <w:autoSpaceDN w:val="0"/>
        <w:adjustRightInd w:val="0"/>
        <w:spacing w:line="240" w:lineRule="auto"/>
        <w:jc w:val="both"/>
        <w:rPr>
          <w:rFonts w:cs="Courier New"/>
          <w:szCs w:val="24"/>
        </w:rPr>
      </w:pPr>
    </w:p>
    <w:p w:rsidR="00764C93" w:rsidRDefault="00764C93" w:rsidP="00764C93">
      <w:pPr>
        <w:autoSpaceDE w:val="0"/>
        <w:autoSpaceDN w:val="0"/>
        <w:adjustRightInd w:val="0"/>
        <w:spacing w:line="240" w:lineRule="auto"/>
        <w:jc w:val="both"/>
        <w:rPr>
          <w:rFonts w:cs="Courier New"/>
          <w:szCs w:val="24"/>
        </w:rPr>
      </w:pPr>
      <w:r>
        <w:rPr>
          <w:rFonts w:cs="Courier New"/>
          <w:szCs w:val="24"/>
        </w:rPr>
        <w:t>Así lo manda y firma el/la Secretario/a Judicial D</w:t>
      </w:r>
      <w:proofErr w:type="gramStart"/>
      <w:r>
        <w:rPr>
          <w:rFonts w:cs="Courier New"/>
          <w:szCs w:val="24"/>
        </w:rPr>
        <w:t>./</w:t>
      </w:r>
      <w:proofErr w:type="gramEnd"/>
      <w:r>
        <w:rPr>
          <w:rFonts w:cs="Courier New"/>
          <w:szCs w:val="24"/>
        </w:rPr>
        <w:t xml:space="preserve">DÑA.  MARIA DEL CARMEN VAZQUEZ ZARATE. </w:t>
      </w:r>
    </w:p>
    <w:p w:rsidR="00764C93" w:rsidRDefault="00764C93" w:rsidP="00764C93">
      <w:pPr>
        <w:autoSpaceDE w:val="0"/>
        <w:autoSpaceDN w:val="0"/>
        <w:adjustRightInd w:val="0"/>
        <w:spacing w:line="240" w:lineRule="auto"/>
        <w:jc w:val="both"/>
        <w:rPr>
          <w:rFonts w:cs="Courier New"/>
          <w:szCs w:val="24"/>
        </w:rPr>
      </w:pPr>
      <w:bookmarkStart w:id="0" w:name="_GoBack"/>
      <w:bookmarkEnd w:id="0"/>
    </w:p>
    <w:p w:rsidR="00764C93" w:rsidRDefault="00764C93" w:rsidP="00764C93">
      <w:pPr>
        <w:autoSpaceDE w:val="0"/>
        <w:autoSpaceDN w:val="0"/>
        <w:adjustRightInd w:val="0"/>
        <w:spacing w:line="240" w:lineRule="auto"/>
        <w:jc w:val="center"/>
        <w:rPr>
          <w:rFonts w:cs="Courier New"/>
          <w:szCs w:val="24"/>
        </w:rPr>
      </w:pPr>
      <w:r>
        <w:rPr>
          <w:rFonts w:cs="Courier New"/>
          <w:b/>
          <w:bCs/>
          <w:szCs w:val="24"/>
        </w:rPr>
        <w:t>EL/LA SECRETARIO/A JUDICIAL;</w:t>
      </w:r>
    </w:p>
    <w:p w:rsidR="00CE254E" w:rsidRDefault="00CE254E"/>
    <w:sectPr w:rsidR="00CE25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EC5"/>
    <w:rsid w:val="00016BCE"/>
    <w:rsid w:val="000747E0"/>
    <w:rsid w:val="000C3E22"/>
    <w:rsid w:val="000F0632"/>
    <w:rsid w:val="00114226"/>
    <w:rsid w:val="00126985"/>
    <w:rsid w:val="00145CF0"/>
    <w:rsid w:val="00187968"/>
    <w:rsid w:val="00193B94"/>
    <w:rsid w:val="001A192E"/>
    <w:rsid w:val="00220F20"/>
    <w:rsid w:val="00263F08"/>
    <w:rsid w:val="00265D0A"/>
    <w:rsid w:val="002D7A5E"/>
    <w:rsid w:val="003342B3"/>
    <w:rsid w:val="00336055"/>
    <w:rsid w:val="00340D0B"/>
    <w:rsid w:val="00346B29"/>
    <w:rsid w:val="00387ABF"/>
    <w:rsid w:val="003A0A18"/>
    <w:rsid w:val="003A597C"/>
    <w:rsid w:val="003A68CC"/>
    <w:rsid w:val="003B1BA1"/>
    <w:rsid w:val="003C2E80"/>
    <w:rsid w:val="003D221C"/>
    <w:rsid w:val="003E183F"/>
    <w:rsid w:val="003E746B"/>
    <w:rsid w:val="003E78FF"/>
    <w:rsid w:val="003F7F84"/>
    <w:rsid w:val="00421081"/>
    <w:rsid w:val="004232E2"/>
    <w:rsid w:val="0042432A"/>
    <w:rsid w:val="00425188"/>
    <w:rsid w:val="00427120"/>
    <w:rsid w:val="004438AF"/>
    <w:rsid w:val="00476989"/>
    <w:rsid w:val="004A7BAF"/>
    <w:rsid w:val="004C2E7C"/>
    <w:rsid w:val="004F5D6B"/>
    <w:rsid w:val="005078E1"/>
    <w:rsid w:val="0053515A"/>
    <w:rsid w:val="005447D6"/>
    <w:rsid w:val="00577BE9"/>
    <w:rsid w:val="00582B34"/>
    <w:rsid w:val="005967C1"/>
    <w:rsid w:val="005B7B0A"/>
    <w:rsid w:val="005E1352"/>
    <w:rsid w:val="006243E5"/>
    <w:rsid w:val="00653F5B"/>
    <w:rsid w:val="006F273F"/>
    <w:rsid w:val="00711EDF"/>
    <w:rsid w:val="00716E35"/>
    <w:rsid w:val="00746DEA"/>
    <w:rsid w:val="00764C93"/>
    <w:rsid w:val="00765B11"/>
    <w:rsid w:val="00777269"/>
    <w:rsid w:val="007E2234"/>
    <w:rsid w:val="007F3943"/>
    <w:rsid w:val="00812F1D"/>
    <w:rsid w:val="008175B3"/>
    <w:rsid w:val="0086501C"/>
    <w:rsid w:val="0087399D"/>
    <w:rsid w:val="008744E1"/>
    <w:rsid w:val="008851E9"/>
    <w:rsid w:val="008D6707"/>
    <w:rsid w:val="00904CD3"/>
    <w:rsid w:val="00906CF2"/>
    <w:rsid w:val="00924BEE"/>
    <w:rsid w:val="00935713"/>
    <w:rsid w:val="00993263"/>
    <w:rsid w:val="009B2911"/>
    <w:rsid w:val="009B2D1A"/>
    <w:rsid w:val="009E3908"/>
    <w:rsid w:val="00A0195A"/>
    <w:rsid w:val="00A451C6"/>
    <w:rsid w:val="00A4643A"/>
    <w:rsid w:val="00A6353A"/>
    <w:rsid w:val="00A75674"/>
    <w:rsid w:val="00A7745B"/>
    <w:rsid w:val="00B01D07"/>
    <w:rsid w:val="00BB4EC5"/>
    <w:rsid w:val="00BB60A3"/>
    <w:rsid w:val="00BD5B71"/>
    <w:rsid w:val="00BD6C2B"/>
    <w:rsid w:val="00BE2111"/>
    <w:rsid w:val="00BE7776"/>
    <w:rsid w:val="00BF50A1"/>
    <w:rsid w:val="00C00E19"/>
    <w:rsid w:val="00C44D00"/>
    <w:rsid w:val="00C47CFC"/>
    <w:rsid w:val="00C553D5"/>
    <w:rsid w:val="00C570AC"/>
    <w:rsid w:val="00C65BB8"/>
    <w:rsid w:val="00C65F2E"/>
    <w:rsid w:val="00C84DD6"/>
    <w:rsid w:val="00C85F87"/>
    <w:rsid w:val="00CC6B47"/>
    <w:rsid w:val="00CE158A"/>
    <w:rsid w:val="00CE254E"/>
    <w:rsid w:val="00CF1259"/>
    <w:rsid w:val="00CF4C78"/>
    <w:rsid w:val="00D50341"/>
    <w:rsid w:val="00D72794"/>
    <w:rsid w:val="00DA432B"/>
    <w:rsid w:val="00DA737C"/>
    <w:rsid w:val="00DC172E"/>
    <w:rsid w:val="00DF21C3"/>
    <w:rsid w:val="00E0564B"/>
    <w:rsid w:val="00E16535"/>
    <w:rsid w:val="00E83DAC"/>
    <w:rsid w:val="00EA2ADF"/>
    <w:rsid w:val="00EB2366"/>
    <w:rsid w:val="00EB62DC"/>
    <w:rsid w:val="00EB6DFF"/>
    <w:rsid w:val="00EB781B"/>
    <w:rsid w:val="00EC2012"/>
    <w:rsid w:val="00ED4657"/>
    <w:rsid w:val="00ED746A"/>
    <w:rsid w:val="00F32B19"/>
    <w:rsid w:val="00F82E93"/>
    <w:rsid w:val="00F94444"/>
    <w:rsid w:val="00FE5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EC5"/>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BB4EC5"/>
    <w:rPr>
      <w:b/>
      <w:bCs w:val="0"/>
    </w:rPr>
  </w:style>
  <w:style w:type="paragraph" w:styleId="NormalWeb">
    <w:name w:val="Normal (Web)"/>
    <w:basedOn w:val="Normal"/>
    <w:uiPriority w:val="99"/>
    <w:semiHidden/>
    <w:unhideWhenUsed/>
    <w:rsid w:val="00BB4EC5"/>
    <w:pPr>
      <w:spacing w:before="100" w:beforeAutospacing="1" w:after="100" w:afterAutospacing="1" w:line="240" w:lineRule="auto"/>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EC5"/>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BB4EC5"/>
    <w:rPr>
      <w:b/>
      <w:bCs w:val="0"/>
    </w:rPr>
  </w:style>
  <w:style w:type="paragraph" w:styleId="NormalWeb">
    <w:name w:val="Normal (Web)"/>
    <w:basedOn w:val="Normal"/>
    <w:uiPriority w:val="99"/>
    <w:semiHidden/>
    <w:unhideWhenUsed/>
    <w:rsid w:val="00BB4EC5"/>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67639">
      <w:bodyDiv w:val="1"/>
      <w:marLeft w:val="0"/>
      <w:marRight w:val="0"/>
      <w:marTop w:val="0"/>
      <w:marBottom w:val="0"/>
      <w:divBdr>
        <w:top w:val="none" w:sz="0" w:space="0" w:color="auto"/>
        <w:left w:val="none" w:sz="0" w:space="0" w:color="auto"/>
        <w:bottom w:val="none" w:sz="0" w:space="0" w:color="auto"/>
        <w:right w:val="none" w:sz="0" w:space="0" w:color="auto"/>
      </w:divBdr>
    </w:div>
    <w:div w:id="1525900094">
      <w:bodyDiv w:val="1"/>
      <w:marLeft w:val="0"/>
      <w:marRight w:val="0"/>
      <w:marTop w:val="0"/>
      <w:marBottom w:val="0"/>
      <w:divBdr>
        <w:top w:val="none" w:sz="0" w:space="0" w:color="auto"/>
        <w:left w:val="none" w:sz="0" w:space="0" w:color="auto"/>
        <w:bottom w:val="none" w:sz="0" w:space="0" w:color="auto"/>
        <w:right w:val="none" w:sz="0" w:space="0" w:color="auto"/>
      </w:divBdr>
    </w:div>
    <w:div w:id="187592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1178</Words>
  <Characters>6484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Xunta de Galicia</Company>
  <LinksUpToDate>false</LinksUpToDate>
  <CharactersWithSpaces>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Carmen Vázquez Zárate</dc:creator>
  <cp:keywords/>
  <dc:description/>
  <cp:lastModifiedBy>ZARATE</cp:lastModifiedBy>
  <cp:revision>2</cp:revision>
  <dcterms:created xsi:type="dcterms:W3CDTF">2013-04-18T12:40:00Z</dcterms:created>
  <dcterms:modified xsi:type="dcterms:W3CDTF">2013-12-16T16:25:00Z</dcterms:modified>
</cp:coreProperties>
</file>